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859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方正小标宋简体" w:eastAsia="方正小标宋简体" w:hAnsiTheme="minorHAnsi" w:cstheme="minorBidi"/>
          <w:spacing w:val="-20"/>
          <w:kern w:val="2"/>
          <w:sz w:val="44"/>
          <w:szCs w:val="44"/>
          <w:lang w:val="en-US" w:eastAsia="zh-CN" w:bidi="ar-SA"/>
        </w:rPr>
      </w:pPr>
      <w:r>
        <w:rPr>
          <w:rFonts w:hint="eastAsia" w:ascii="方正小标宋简体" w:eastAsia="方正小标宋简体" w:hAnsiTheme="minorHAnsi" w:cstheme="minorBidi"/>
          <w:spacing w:val="-20"/>
          <w:kern w:val="2"/>
          <w:sz w:val="44"/>
          <w:szCs w:val="44"/>
          <w:lang w:val="en-US" w:eastAsia="zh-CN" w:bidi="ar-SA"/>
        </w:rPr>
        <w:t>《甲基苯丙胺成瘾毒性机制和鉴定技术体系创建及应用》</w:t>
      </w:r>
    </w:p>
    <w:p w14:paraId="3F64F1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方正小标宋简体" w:eastAsia="方正小标宋简体" w:hAnsiTheme="minorHAnsi" w:cstheme="minorBidi"/>
          <w:spacing w:val="-20"/>
          <w:kern w:val="2"/>
          <w:sz w:val="44"/>
          <w:szCs w:val="44"/>
          <w:lang w:val="en-US" w:eastAsia="zh-CN" w:bidi="ar-SA"/>
        </w:rPr>
      </w:pPr>
      <w:r>
        <w:rPr>
          <w:rFonts w:hint="eastAsia" w:ascii="方正小标宋简体" w:eastAsia="方正小标宋简体" w:hAnsiTheme="minorHAnsi" w:cstheme="minorBidi"/>
          <w:spacing w:val="-20"/>
          <w:kern w:val="2"/>
          <w:sz w:val="44"/>
          <w:szCs w:val="44"/>
          <w:lang w:val="en-US" w:eastAsia="zh-CN" w:bidi="ar-SA"/>
        </w:rPr>
        <w:t>项目信息</w:t>
      </w:r>
    </w:p>
    <w:p w14:paraId="21D81091">
      <w:pPr>
        <w:widowControl/>
        <w:spacing w:after="0" w:line="560" w:lineRule="exact"/>
        <w:rPr>
          <w:rFonts w:hint="eastAsia" w:ascii="仿宋_GB2312" w:eastAsia="仿宋_GB2312"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项目名称：</w:t>
      </w:r>
      <w:r>
        <w:rPr>
          <w:rFonts w:hint="eastAsia" w:ascii="仿宋_GB2312" w:eastAsia="仿宋_GB2312" w:cstheme="minorBidi"/>
          <w:b/>
          <w:bCs/>
          <w:kern w:val="2"/>
          <w:sz w:val="32"/>
          <w:szCs w:val="32"/>
          <w:lang w:val="en-US" w:eastAsia="zh-CN" w:bidi="ar-SA"/>
        </w:rPr>
        <w:t>甲基苯丙胺成瘾毒性机制和鉴定技术体系创建及应用</w:t>
      </w:r>
    </w:p>
    <w:p w14:paraId="7D9C7833">
      <w:pPr>
        <w:widowControl/>
        <w:spacing w:after="0" w:line="560" w:lineRule="exact"/>
        <w:rPr>
          <w:rFonts w:hint="default" w:ascii="仿宋_GB2312" w:eastAsia="仿宋_GB2312"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提名者</w:t>
      </w:r>
      <w:r>
        <w:rPr>
          <w:rFonts w:hint="eastAsia" w:ascii="仿宋_GB2312" w:eastAsia="仿宋_GB2312" w:cstheme="minorBidi"/>
          <w:b/>
          <w:bCs/>
          <w:kern w:val="2"/>
          <w:sz w:val="32"/>
          <w:szCs w:val="32"/>
          <w:lang w:val="en-US" w:eastAsia="zh-CN" w:bidi="ar-SA"/>
        </w:rPr>
        <w:t>：昆明医科大学</w:t>
      </w:r>
    </w:p>
    <w:p w14:paraId="1CFAC633">
      <w:pPr>
        <w:widowControl/>
        <w:spacing w:after="0" w:line="560" w:lineRule="exact"/>
        <w:rPr>
          <w:rFonts w:hint="default" w:ascii="仿宋_GB2312" w:eastAsia="仿宋_GB2312"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提名等级：</w:t>
      </w:r>
      <w:r>
        <w:rPr>
          <w:rFonts w:hint="default" w:ascii="仿宋_GB2312" w:eastAsia="仿宋_GB2312" w:cstheme="minorBidi"/>
          <w:b/>
          <w:bCs/>
          <w:kern w:val="2"/>
          <w:sz w:val="32"/>
          <w:szCs w:val="32"/>
          <w:lang w:val="en-US" w:eastAsia="zh-CN" w:bidi="ar-SA"/>
        </w:rPr>
        <w:t>科技进步</w:t>
      </w:r>
      <w:r>
        <w:rPr>
          <w:rFonts w:hint="eastAsia" w:ascii="仿宋_GB2312" w:eastAsia="仿宋_GB2312" w:cstheme="minorBidi"/>
          <w:b/>
          <w:bCs/>
          <w:kern w:val="2"/>
          <w:sz w:val="32"/>
          <w:szCs w:val="32"/>
          <w:lang w:val="en-US" w:eastAsia="zh-CN" w:bidi="ar-SA"/>
        </w:rPr>
        <w:t>一等奖</w:t>
      </w:r>
    </w:p>
    <w:p w14:paraId="719330E9">
      <w:pPr>
        <w:widowControl/>
        <w:spacing w:after="0" w:line="560" w:lineRule="exact"/>
        <w:rPr>
          <w:rFonts w:hint="eastAsia" w:ascii="仿宋_GB2312" w:eastAsia="仿宋_GB2312" w:cstheme="minorBidi"/>
          <w:b/>
          <w:bCs/>
          <w:kern w:val="2"/>
          <w:sz w:val="32"/>
          <w:szCs w:val="32"/>
          <w:lang w:val="en-US" w:eastAsia="zh-CN" w:bidi="ar-SA"/>
        </w:rPr>
      </w:pPr>
      <w:r>
        <w:rPr>
          <w:rFonts w:hint="eastAsia" w:ascii="仿宋_GB2312" w:eastAsia="仿宋_GB2312" w:cstheme="minorBidi"/>
          <w:b/>
          <w:bCs/>
          <w:kern w:val="2"/>
          <w:sz w:val="32"/>
          <w:szCs w:val="32"/>
          <w:lang w:val="en-US" w:eastAsia="zh-CN" w:bidi="ar-SA"/>
        </w:rPr>
        <w:t>项目简介：</w:t>
      </w:r>
    </w:p>
    <w:p w14:paraId="706C7DC0">
      <w:pPr>
        <w:widowControl/>
        <w:spacing w:after="0" w:line="560" w:lineRule="exact"/>
        <w:ind w:firstLine="640" w:firstLineChars="200"/>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该项目在国家自然科学基金、云南省科技厅联合专项重点项目等课题支持下，历时10余年攻关，取得以下重大创新突破：一、聚焦甲基苯丙胺成瘾毒性损害机制，系统阐明了甲基苯丙胺成瘾毒性损害机制。创新性发现：1</w:t>
      </w:r>
      <w:r>
        <w:rPr>
          <w:rFonts w:hint="eastAsia"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建立了METH神经毒性的多维度形态学评价体系；2.构建了METH神经毒性的功能-分子多指标整合检测体系；3.阐明了METH成瘾毒性损害的多靶点分子调控网络及联合滥用协同神经毒性的分子病理机制。二、甲基苯丙胺成瘾实验动物研究体系的建立及应用。创新性发现：1.完善</w:t>
      </w:r>
      <w:r>
        <w:rPr>
          <w:rFonts w:hint="eastAsia" w:ascii="Times New Roman" w:hAnsi="Times New Roman" w:eastAsia="仿宋_GB2312" w:cs="Times New Roman"/>
          <w:b w:val="0"/>
          <w:bCs w:val="0"/>
          <w:kern w:val="2"/>
          <w:sz w:val="32"/>
          <w:szCs w:val="32"/>
          <w:lang w:val="en-US" w:eastAsia="zh-CN" w:bidi="ar-SA"/>
        </w:rPr>
        <w:t>了</w:t>
      </w:r>
      <w:r>
        <w:rPr>
          <w:rFonts w:hint="default" w:ascii="Times New Roman" w:hAnsi="Times New Roman" w:eastAsia="仿宋_GB2312" w:cs="Times New Roman"/>
          <w:b w:val="0"/>
          <w:bCs w:val="0"/>
          <w:kern w:val="2"/>
          <w:sz w:val="32"/>
          <w:szCs w:val="32"/>
          <w:lang w:val="en-US" w:eastAsia="zh-CN" w:bidi="ar-SA"/>
        </w:rPr>
        <w:t>实验动物模型标准化与评价体系。2.甲基苯丙胺成瘾与神经毒性机制的多维度系统解析。三、甲基苯丙胺成瘾鉴定技术体系创建及推广应用。主要技术创新：1.构建了甲基苯丙胺成瘾鉴定关键技术体系。构建了甲基苯丙胺成瘾相关的</w:t>
      </w:r>
      <w:r>
        <w:rPr>
          <w:rFonts w:hint="eastAsia" w:ascii="Times New Roman" w:hAnsi="Times New Roman" w:eastAsia="仿宋_GB2312" w:cs="Times New Roman"/>
          <w:b w:val="0"/>
          <w:bCs w:val="0"/>
          <w:kern w:val="2"/>
          <w:sz w:val="32"/>
          <w:szCs w:val="32"/>
          <w:lang w:val="en-US" w:eastAsia="zh-CN" w:bidi="ar-SA"/>
        </w:rPr>
        <w:t>鉴定</w:t>
      </w:r>
      <w:r>
        <w:rPr>
          <w:rFonts w:hint="default" w:ascii="Times New Roman" w:hAnsi="Times New Roman" w:eastAsia="仿宋_GB2312" w:cs="Times New Roman"/>
          <w:b w:val="0"/>
          <w:bCs w:val="0"/>
          <w:kern w:val="2"/>
          <w:sz w:val="32"/>
          <w:szCs w:val="32"/>
          <w:lang w:val="en-US" w:eastAsia="zh-CN" w:bidi="ar-SA"/>
        </w:rPr>
        <w:t>关键技术体系，包括法医学司法鉴定各领域（法医病理鉴定、法医毒物鉴定、法医临床和法医精神病鉴定等）的</w:t>
      </w:r>
      <w:r>
        <w:rPr>
          <w:rFonts w:hint="eastAsia" w:ascii="Times New Roman" w:hAnsi="Times New Roman" w:eastAsia="仿宋_GB2312" w:cs="Times New Roman"/>
          <w:b w:val="0"/>
          <w:bCs w:val="0"/>
          <w:kern w:val="2"/>
          <w:sz w:val="32"/>
          <w:szCs w:val="32"/>
          <w:lang w:val="en-US" w:eastAsia="zh-CN" w:bidi="ar-SA"/>
        </w:rPr>
        <w:t>鉴定</w:t>
      </w:r>
      <w:r>
        <w:rPr>
          <w:rFonts w:hint="default" w:ascii="Times New Roman" w:hAnsi="Times New Roman" w:eastAsia="仿宋_GB2312" w:cs="Times New Roman"/>
          <w:b w:val="0"/>
          <w:bCs w:val="0"/>
          <w:kern w:val="2"/>
          <w:sz w:val="32"/>
          <w:szCs w:val="32"/>
          <w:lang w:val="en-US" w:eastAsia="zh-CN" w:bidi="ar-SA"/>
        </w:rPr>
        <w:t>关键技术体系。2.构建了甲基苯丙胺快速检测关键技术体系。创建的鉴定技术体系在全国司法鉴定实践领域广泛推广应用，服务司法实践，覆盖甲基苯丙胺成瘾死亡鉴定、法医临床损害鉴定、法医精神病鉴定</w:t>
      </w:r>
      <w:r>
        <w:rPr>
          <w:rFonts w:hint="eastAsia" w:ascii="Times New Roman" w:hAnsi="Times New Roman" w:eastAsia="仿宋_GB2312" w:cs="Times New Roman"/>
          <w:b w:val="0"/>
          <w:bCs w:val="0"/>
          <w:kern w:val="2"/>
          <w:sz w:val="32"/>
          <w:szCs w:val="32"/>
          <w:lang w:val="en-US" w:eastAsia="zh-CN" w:bidi="ar-SA"/>
        </w:rPr>
        <w:t>及</w:t>
      </w:r>
      <w:r>
        <w:rPr>
          <w:rFonts w:hint="default" w:ascii="Times New Roman" w:hAnsi="Times New Roman" w:eastAsia="仿宋_GB2312" w:cs="Times New Roman"/>
          <w:b w:val="0"/>
          <w:bCs w:val="0"/>
          <w:kern w:val="2"/>
          <w:sz w:val="32"/>
          <w:szCs w:val="32"/>
          <w:lang w:val="en-US" w:eastAsia="zh-CN" w:bidi="ar-SA"/>
        </w:rPr>
        <w:t>法医毒物鉴定等</w:t>
      </w:r>
      <w:r>
        <w:rPr>
          <w:rFonts w:hint="eastAsia"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累计完成8000多例</w:t>
      </w:r>
      <w:r>
        <w:rPr>
          <w:rFonts w:hint="eastAsia" w:ascii="Times New Roman" w:hAnsi="Times New Roman" w:eastAsia="仿宋_GB2312" w:cs="Times New Roman"/>
          <w:b w:val="0"/>
          <w:bCs w:val="0"/>
          <w:kern w:val="2"/>
          <w:sz w:val="32"/>
          <w:szCs w:val="32"/>
          <w:lang w:val="en-US" w:eastAsia="zh-CN" w:bidi="ar-SA"/>
        </w:rPr>
        <w:t>鉴定</w:t>
      </w:r>
      <w:r>
        <w:rPr>
          <w:rFonts w:hint="default" w:ascii="Times New Roman" w:hAnsi="Times New Roman" w:eastAsia="仿宋_GB2312" w:cs="Times New Roman"/>
          <w:b w:val="0"/>
          <w:bCs w:val="0"/>
          <w:kern w:val="2"/>
          <w:sz w:val="32"/>
          <w:szCs w:val="32"/>
          <w:lang w:val="en-US" w:eastAsia="zh-CN" w:bidi="ar-SA"/>
        </w:rPr>
        <w:t>案件，取得了显著的社会效益和经济效益。</w:t>
      </w:r>
    </w:p>
    <w:p w14:paraId="7E6F7509">
      <w:pPr>
        <w:widowControl/>
        <w:spacing w:after="0" w:line="560" w:lineRule="exact"/>
        <w:ind w:firstLine="640" w:firstLineChars="200"/>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该成果主要依托国家自然科学基金5项、云南省应用基础研究项目和科技厅联合专项重点项目6项的支持，已公开发表高水平学术论文100多篇，其中SCI收录论文</w:t>
      </w:r>
      <w:r>
        <w:rPr>
          <w:rFonts w:hint="eastAsia" w:ascii="Times New Roman" w:hAnsi="Times New Roman" w:eastAsia="仿宋_GB2312" w:cs="Times New Roman"/>
          <w:b w:val="0"/>
          <w:bCs w:val="0"/>
          <w:kern w:val="2"/>
          <w:sz w:val="32"/>
          <w:szCs w:val="32"/>
          <w:lang w:val="en-US" w:eastAsia="zh-CN" w:bidi="ar-SA"/>
        </w:rPr>
        <w:t>20</w:t>
      </w:r>
      <w:r>
        <w:rPr>
          <w:rFonts w:hint="default" w:ascii="Times New Roman" w:hAnsi="Times New Roman" w:eastAsia="仿宋_GB2312" w:cs="Times New Roman"/>
          <w:b w:val="0"/>
          <w:bCs w:val="0"/>
          <w:kern w:val="2"/>
          <w:sz w:val="32"/>
          <w:szCs w:val="32"/>
          <w:lang w:val="en-US" w:eastAsia="zh-CN" w:bidi="ar-SA"/>
        </w:rPr>
        <w:t>多篇，获授权发明专利</w:t>
      </w:r>
      <w:r>
        <w:rPr>
          <w:rFonts w:hint="eastAsia" w:ascii="Times New Roman" w:hAnsi="Times New Roman" w:eastAsia="仿宋_GB2312" w:cs="Times New Roman"/>
          <w:b w:val="0"/>
          <w:bCs w:val="0"/>
          <w:kern w:val="2"/>
          <w:sz w:val="32"/>
          <w:szCs w:val="32"/>
          <w:lang w:val="en-US" w:eastAsia="zh-CN" w:bidi="ar-SA"/>
        </w:rPr>
        <w:t>等7</w:t>
      </w:r>
      <w:r>
        <w:rPr>
          <w:rFonts w:hint="default" w:ascii="Times New Roman" w:hAnsi="Times New Roman" w:eastAsia="仿宋_GB2312" w:cs="Times New Roman"/>
          <w:b w:val="0"/>
          <w:bCs w:val="0"/>
          <w:kern w:val="2"/>
          <w:sz w:val="32"/>
          <w:szCs w:val="32"/>
          <w:lang w:val="en-US" w:eastAsia="zh-CN" w:bidi="ar-SA"/>
        </w:rPr>
        <w:t>项，以主编、副主编出版《法医毒理学》等国家级规划教材3部，建成国家卫生健康委</w:t>
      </w:r>
      <w:r>
        <w:rPr>
          <w:rFonts w:hint="eastAsia" w:ascii="Times New Roman" w:hAnsi="Times New Roman" w:eastAsia="仿宋_GB2312" w:cs="Times New Roman"/>
          <w:b w:val="0"/>
          <w:bCs w:val="0"/>
          <w:kern w:val="2"/>
          <w:sz w:val="32"/>
          <w:szCs w:val="32"/>
          <w:lang w:val="en-US" w:eastAsia="zh-CN" w:bidi="ar-SA"/>
        </w:rPr>
        <w:t>员会</w:t>
      </w:r>
      <w:r>
        <w:rPr>
          <w:rFonts w:hint="default" w:ascii="Times New Roman" w:hAnsi="Times New Roman" w:eastAsia="仿宋_GB2312" w:cs="Times New Roman"/>
          <w:b w:val="0"/>
          <w:bCs w:val="0"/>
          <w:kern w:val="2"/>
          <w:sz w:val="32"/>
          <w:szCs w:val="32"/>
          <w:lang w:val="en-US" w:eastAsia="zh-CN" w:bidi="ar-SA"/>
        </w:rPr>
        <w:t>毒品依赖和戒治重点实验室1个。成果获国内禁毒和法医学领域同行专家高度认可，为禁毒战略和毒品依赖防控</w:t>
      </w:r>
      <w:r>
        <w:rPr>
          <w:rFonts w:hint="eastAsia" w:ascii="Times New Roman" w:hAnsi="Times New Roman" w:eastAsia="仿宋_GB2312" w:cs="Times New Roman"/>
          <w:b w:val="0"/>
          <w:bCs w:val="0"/>
          <w:kern w:val="2"/>
          <w:sz w:val="32"/>
          <w:szCs w:val="32"/>
          <w:lang w:val="en-US" w:eastAsia="zh-CN" w:bidi="ar-SA"/>
        </w:rPr>
        <w:t>、司法鉴定</w:t>
      </w:r>
      <w:r>
        <w:rPr>
          <w:rFonts w:hint="default" w:ascii="Times New Roman" w:hAnsi="Times New Roman" w:eastAsia="仿宋_GB2312" w:cs="Times New Roman"/>
          <w:b w:val="0"/>
          <w:bCs w:val="0"/>
          <w:kern w:val="2"/>
          <w:sz w:val="32"/>
          <w:szCs w:val="32"/>
          <w:lang w:val="en-US" w:eastAsia="zh-CN" w:bidi="ar-SA"/>
        </w:rPr>
        <w:t>事业</w:t>
      </w:r>
      <w:r>
        <w:rPr>
          <w:rFonts w:hint="eastAsia" w:ascii="Times New Roman" w:hAnsi="Times New Roman" w:eastAsia="仿宋_GB2312" w:cs="Times New Roman"/>
          <w:b w:val="0"/>
          <w:bCs w:val="0"/>
          <w:kern w:val="2"/>
          <w:sz w:val="32"/>
          <w:szCs w:val="32"/>
          <w:lang w:val="en-US" w:eastAsia="zh-CN" w:bidi="ar-SA"/>
        </w:rPr>
        <w:t>做出</w:t>
      </w:r>
      <w:r>
        <w:rPr>
          <w:rFonts w:hint="default" w:ascii="Times New Roman" w:hAnsi="Times New Roman" w:eastAsia="仿宋_GB2312" w:cs="Times New Roman"/>
          <w:b w:val="0"/>
          <w:bCs w:val="0"/>
          <w:kern w:val="2"/>
          <w:sz w:val="32"/>
          <w:szCs w:val="32"/>
          <w:lang w:val="en-US" w:eastAsia="zh-CN" w:bidi="ar-SA"/>
        </w:rPr>
        <w:t>了重要贡献。</w:t>
      </w:r>
    </w:p>
    <w:p w14:paraId="5B3F063E">
      <w:pPr>
        <w:widowControl/>
        <w:spacing w:after="0" w:line="560" w:lineRule="exact"/>
        <w:rPr>
          <w:rFonts w:hint="default" w:ascii="Times New Roman" w:hAnsi="Times New Roman" w:eastAsia="仿宋_GB2312" w:cs="Times New Roman"/>
          <w:b/>
          <w:bCs/>
          <w:kern w:val="2"/>
          <w:sz w:val="32"/>
          <w:szCs w:val="32"/>
          <w:lang w:val="en-US" w:eastAsia="zh-CN" w:bidi="ar-SA"/>
        </w:rPr>
      </w:pPr>
    </w:p>
    <w:p w14:paraId="578C1389">
      <w:pPr>
        <w:widowControl/>
        <w:spacing w:after="0" w:line="560" w:lineRule="exact"/>
        <w:rPr>
          <w:rFonts w:hint="eastAsia" w:ascii="仿宋_GB2312" w:eastAsia="仿宋_GB2312" w:hAnsiTheme="minorHAnsi"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主要知识产权和标准规范等目录：</w:t>
      </w:r>
    </w:p>
    <w:tbl>
      <w:tblPr>
        <w:tblStyle w:val="6"/>
        <w:tblpPr w:leftFromText="180" w:rightFromText="180" w:vertAnchor="text" w:horzAnchor="page" w:tblpX="1256" w:tblpY="780"/>
        <w:tblOverlap w:val="never"/>
        <w:tblW w:w="9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3769"/>
        <w:gridCol w:w="2325"/>
        <w:gridCol w:w="128"/>
        <w:gridCol w:w="1984"/>
        <w:tblGridChange w:id="0">
          <w:tblGrid>
            <w:gridCol w:w="892"/>
            <w:gridCol w:w="549"/>
            <w:gridCol w:w="3385"/>
            <w:gridCol w:w="384"/>
            <w:gridCol w:w="1904"/>
            <w:gridCol w:w="421"/>
            <w:gridCol w:w="985"/>
            <w:gridCol w:w="1127"/>
          </w:tblGrid>
        </w:tblGridChange>
      </w:tblGrid>
      <w:tr w14:paraId="5DB57BCA">
        <w:trPr>
          <w:trHeight w:val="602" w:hRule="atLeast"/>
        </w:trPr>
        <w:tc>
          <w:tcPr>
            <w:tcW w:w="1441" w:type="dxa"/>
            <w:vAlign w:val="center"/>
          </w:tcPr>
          <w:p w14:paraId="5B925549">
            <w:pPr>
              <w:widowControl/>
              <w:spacing w:after="0" w:line="560" w:lineRule="exact"/>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序号</w:t>
            </w:r>
          </w:p>
        </w:tc>
        <w:tc>
          <w:tcPr>
            <w:tcW w:w="3769" w:type="dxa"/>
            <w:vAlign w:val="center"/>
          </w:tcPr>
          <w:p w14:paraId="17DECBA8">
            <w:pPr>
              <w:widowControl/>
              <w:spacing w:after="0" w:line="560" w:lineRule="exact"/>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专利名称</w:t>
            </w:r>
          </w:p>
        </w:tc>
        <w:tc>
          <w:tcPr>
            <w:tcW w:w="2325" w:type="dxa"/>
            <w:vAlign w:val="center"/>
          </w:tcPr>
          <w:p w14:paraId="5937A25A">
            <w:pPr>
              <w:widowControl/>
              <w:spacing w:after="0" w:line="560" w:lineRule="exact"/>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专利号</w:t>
            </w:r>
          </w:p>
        </w:tc>
        <w:tc>
          <w:tcPr>
            <w:tcW w:w="2112" w:type="dxa"/>
            <w:gridSpan w:val="2"/>
            <w:vAlign w:val="center"/>
          </w:tcPr>
          <w:p w14:paraId="465C4AFC">
            <w:pPr>
              <w:widowControl/>
              <w:spacing w:after="0" w:line="560" w:lineRule="exact"/>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发明人</w:t>
            </w:r>
          </w:p>
        </w:tc>
      </w:tr>
      <w:tr w14:paraId="0D0D0C3A">
        <w:tc>
          <w:tcPr>
            <w:tcW w:w="1441" w:type="dxa"/>
            <w:vAlign w:val="center"/>
          </w:tcPr>
          <w:p w14:paraId="165AD0D9">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3769" w:type="dxa"/>
            <w:vAlign w:val="center"/>
          </w:tcPr>
          <w:p w14:paraId="350ACDDA">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基于具有甲基苯丙胺特异性识别的电化学传感器的甲基苯丙胺快速检测方法</w:t>
            </w:r>
          </w:p>
        </w:tc>
        <w:tc>
          <w:tcPr>
            <w:tcW w:w="2325" w:type="dxa"/>
            <w:vAlign w:val="center"/>
          </w:tcPr>
          <w:p w14:paraId="7A8806CC">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ZL-2022-1-0517837.8</w:t>
            </w:r>
          </w:p>
        </w:tc>
        <w:tc>
          <w:tcPr>
            <w:tcW w:w="2112" w:type="dxa"/>
            <w:gridSpan w:val="2"/>
            <w:vAlign w:val="center"/>
          </w:tcPr>
          <w:p w14:paraId="4F79C1CF">
            <w:pPr>
              <w:widowControl/>
              <w:spacing w:after="0" w:line="560" w:lineRule="exact"/>
              <w:ind w:firstLine="0" w:firstLineChars="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张瑞林、杨根梦</w:t>
            </w:r>
          </w:p>
        </w:tc>
      </w:tr>
      <w:tr w14:paraId="6A8D160D">
        <w:tc>
          <w:tcPr>
            <w:tcW w:w="1441" w:type="dxa"/>
            <w:vAlign w:val="center"/>
          </w:tcPr>
          <w:p w14:paraId="489AC15F">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w:t>
            </w:r>
          </w:p>
        </w:tc>
        <w:tc>
          <w:tcPr>
            <w:tcW w:w="3769" w:type="dxa"/>
            <w:vAlign w:val="center"/>
          </w:tcPr>
          <w:p w14:paraId="73F92B1B">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具有MA特异性识别的柱芳烃、柱芳烃-石墨炔复合材料、制备方法及其用途</w:t>
            </w:r>
          </w:p>
        </w:tc>
        <w:tc>
          <w:tcPr>
            <w:tcW w:w="2325" w:type="dxa"/>
            <w:vAlign w:val="center"/>
          </w:tcPr>
          <w:p w14:paraId="38F7A398">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ZL-2022-1-0518276.3</w:t>
            </w:r>
          </w:p>
        </w:tc>
        <w:tc>
          <w:tcPr>
            <w:tcW w:w="2112" w:type="dxa"/>
            <w:gridSpan w:val="2"/>
            <w:vAlign w:val="center"/>
          </w:tcPr>
          <w:p w14:paraId="0F4BD091">
            <w:pPr>
              <w:widowControl/>
              <w:spacing w:after="0" w:line="560" w:lineRule="exact"/>
              <w:ind w:firstLine="0" w:firstLineChars="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张瑞林、杨根梦</w:t>
            </w:r>
          </w:p>
        </w:tc>
      </w:tr>
      <w:tr w14:paraId="1F3BBB12">
        <w:trPr>
          <w:trHeight w:val="589" w:hRule="atLeast"/>
        </w:trPr>
        <w:tc>
          <w:tcPr>
            <w:tcW w:w="1441" w:type="dxa"/>
            <w:vAlign w:val="center"/>
          </w:tcPr>
          <w:p w14:paraId="4193E696">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w:t>
            </w:r>
          </w:p>
        </w:tc>
        <w:tc>
          <w:tcPr>
            <w:tcW w:w="3769" w:type="dxa"/>
            <w:vAlign w:val="center"/>
          </w:tcPr>
          <w:p w14:paraId="6201D79D">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一种实验大鼠小鼠心脏灌注固定装置</w:t>
            </w:r>
          </w:p>
        </w:tc>
        <w:tc>
          <w:tcPr>
            <w:tcW w:w="2325" w:type="dxa"/>
            <w:vAlign w:val="center"/>
          </w:tcPr>
          <w:p w14:paraId="7BB99B0B">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CN205252181U</w:t>
            </w:r>
          </w:p>
        </w:tc>
        <w:tc>
          <w:tcPr>
            <w:tcW w:w="2112" w:type="dxa"/>
            <w:gridSpan w:val="2"/>
            <w:vAlign w:val="center"/>
          </w:tcPr>
          <w:p w14:paraId="6977426A">
            <w:pPr>
              <w:widowControl/>
              <w:spacing w:after="0" w:line="560" w:lineRule="exact"/>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洪仕君、李利华、于洋</w:t>
            </w:r>
          </w:p>
        </w:tc>
      </w:tr>
      <w:tr w14:paraId="7C359880">
        <w:tc>
          <w:tcPr>
            <w:tcW w:w="1441" w:type="dxa"/>
            <w:vAlign w:val="center"/>
          </w:tcPr>
          <w:p w14:paraId="51845DDB">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w:t>
            </w:r>
          </w:p>
        </w:tc>
        <w:tc>
          <w:tcPr>
            <w:tcW w:w="3769" w:type="dxa"/>
            <w:vAlign w:val="center"/>
          </w:tcPr>
          <w:p w14:paraId="5E117CDD">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一种便于拆装的大鼠条件性位置偏爱箱</w:t>
            </w:r>
          </w:p>
        </w:tc>
        <w:tc>
          <w:tcPr>
            <w:tcW w:w="2325" w:type="dxa"/>
            <w:vAlign w:val="center"/>
          </w:tcPr>
          <w:p w14:paraId="5FF0101C">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CN208942167U</w:t>
            </w:r>
          </w:p>
        </w:tc>
        <w:tc>
          <w:tcPr>
            <w:tcW w:w="2112" w:type="dxa"/>
            <w:gridSpan w:val="2"/>
            <w:vAlign w:val="center"/>
          </w:tcPr>
          <w:p w14:paraId="17A6FC9C">
            <w:pPr>
              <w:widowControl/>
              <w:spacing w:after="0" w:line="560" w:lineRule="exact"/>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彭艳霞、洪仕君</w:t>
            </w:r>
          </w:p>
        </w:tc>
      </w:tr>
      <w:tr w14:paraId="63B277BA">
        <w:tc>
          <w:tcPr>
            <w:tcW w:w="1441" w:type="dxa"/>
            <w:vAlign w:val="center"/>
          </w:tcPr>
          <w:p w14:paraId="2F2870AB">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w:t>
            </w:r>
          </w:p>
        </w:tc>
        <w:tc>
          <w:tcPr>
            <w:tcW w:w="3769" w:type="dxa"/>
            <w:vAlign w:val="center"/>
          </w:tcPr>
          <w:p w14:paraId="3D7727DD">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一种用于保存可疑毒品的采样管</w:t>
            </w:r>
          </w:p>
        </w:tc>
        <w:tc>
          <w:tcPr>
            <w:tcW w:w="2325" w:type="dxa"/>
            <w:vAlign w:val="center"/>
          </w:tcPr>
          <w:p w14:paraId="1F4117AA">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CN208239108U</w:t>
            </w:r>
          </w:p>
        </w:tc>
        <w:tc>
          <w:tcPr>
            <w:tcW w:w="2112" w:type="dxa"/>
            <w:gridSpan w:val="2"/>
            <w:vAlign w:val="center"/>
          </w:tcPr>
          <w:p w14:paraId="1F358816">
            <w:pPr>
              <w:widowControl/>
              <w:spacing w:after="0" w:line="560" w:lineRule="exact"/>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彭艳霞、洪仕君</w:t>
            </w:r>
          </w:p>
        </w:tc>
      </w:tr>
      <w:tr w14:paraId="57C095CB">
        <w:tc>
          <w:tcPr>
            <w:tcW w:w="1441" w:type="dxa"/>
            <w:vAlign w:val="center"/>
          </w:tcPr>
          <w:p w14:paraId="50A7FC34">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6</w:t>
            </w:r>
          </w:p>
        </w:tc>
        <w:tc>
          <w:tcPr>
            <w:tcW w:w="3769" w:type="dxa"/>
            <w:vAlign w:val="center"/>
          </w:tcPr>
          <w:p w14:paraId="5783245E">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基于轴心的可校准式颈椎活动度测量仪</w:t>
            </w:r>
          </w:p>
        </w:tc>
        <w:tc>
          <w:tcPr>
            <w:tcW w:w="2325" w:type="dxa"/>
            <w:vAlign w:val="center"/>
          </w:tcPr>
          <w:p w14:paraId="5D16FCF1">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CN214048819U</w:t>
            </w:r>
          </w:p>
        </w:tc>
        <w:tc>
          <w:tcPr>
            <w:tcW w:w="2112" w:type="dxa"/>
            <w:gridSpan w:val="2"/>
            <w:vAlign w:val="center"/>
          </w:tcPr>
          <w:p w14:paraId="55F29EBD">
            <w:pPr>
              <w:widowControl/>
              <w:spacing w:after="0" w:line="560" w:lineRule="exact"/>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官莉娜</w:t>
            </w:r>
          </w:p>
        </w:tc>
      </w:tr>
      <w:tr w14:paraId="0ACD1564">
        <w:tc>
          <w:tcPr>
            <w:tcW w:w="1441" w:type="dxa"/>
            <w:vAlign w:val="center"/>
          </w:tcPr>
          <w:p w14:paraId="123F847C">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7</w:t>
            </w:r>
          </w:p>
        </w:tc>
        <w:tc>
          <w:tcPr>
            <w:tcW w:w="3769" w:type="dxa"/>
            <w:vAlign w:val="center"/>
          </w:tcPr>
          <w:p w14:paraId="29CA4691">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一种大鼠给药结构</w:t>
            </w:r>
          </w:p>
        </w:tc>
        <w:tc>
          <w:tcPr>
            <w:tcW w:w="2325" w:type="dxa"/>
            <w:vAlign w:val="center"/>
          </w:tcPr>
          <w:p w14:paraId="5001E105">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CN219289783U</w:t>
            </w:r>
          </w:p>
        </w:tc>
        <w:tc>
          <w:tcPr>
            <w:tcW w:w="2112" w:type="dxa"/>
            <w:gridSpan w:val="2"/>
            <w:vAlign w:val="center"/>
          </w:tcPr>
          <w:p w14:paraId="73226D6E">
            <w:pPr>
              <w:widowControl/>
              <w:spacing w:after="0" w:line="560" w:lineRule="exact"/>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洪仕君、于洋、杨根梦、沈宝玉</w:t>
            </w:r>
          </w:p>
        </w:tc>
      </w:tr>
      <w:tr w14:paraId="4850B020">
        <w:tc>
          <w:tcPr>
            <w:tcW w:w="1441" w:type="dxa"/>
            <w:vAlign w:val="center"/>
          </w:tcPr>
          <w:p w14:paraId="78BA5DB0">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8</w:t>
            </w:r>
          </w:p>
        </w:tc>
        <w:tc>
          <w:tcPr>
            <w:tcW w:w="3769" w:type="dxa"/>
            <w:vAlign w:val="center"/>
          </w:tcPr>
          <w:p w14:paraId="20A92A44">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CPP 行为学实验计算仿真统</w:t>
            </w:r>
          </w:p>
        </w:tc>
        <w:tc>
          <w:tcPr>
            <w:tcW w:w="2325" w:type="dxa"/>
            <w:vAlign w:val="center"/>
          </w:tcPr>
          <w:p w14:paraId="14C739F7">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2020SR0691033</w:t>
            </w:r>
          </w:p>
        </w:tc>
        <w:tc>
          <w:tcPr>
            <w:tcW w:w="2112" w:type="dxa"/>
            <w:gridSpan w:val="2"/>
            <w:vAlign w:val="center"/>
          </w:tcPr>
          <w:p w14:paraId="3A07623E">
            <w:pPr>
              <w:widowControl/>
              <w:spacing w:after="0" w:line="560" w:lineRule="exact"/>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彭艳霞、洪仕君</w:t>
            </w:r>
          </w:p>
        </w:tc>
      </w:tr>
      <w:tr w14:paraId="6038D4E0">
        <w:tc>
          <w:tcPr>
            <w:tcW w:w="1441" w:type="dxa"/>
            <w:vAlign w:val="center"/>
          </w:tcPr>
          <w:p w14:paraId="5A81A007">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9</w:t>
            </w:r>
          </w:p>
        </w:tc>
        <w:tc>
          <w:tcPr>
            <w:tcW w:w="3769" w:type="dxa"/>
            <w:vAlign w:val="center"/>
          </w:tcPr>
          <w:p w14:paraId="39E515AB">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毒品检测数据报表统计软件</w:t>
            </w:r>
          </w:p>
        </w:tc>
        <w:tc>
          <w:tcPr>
            <w:tcW w:w="2325" w:type="dxa"/>
            <w:vAlign w:val="center"/>
          </w:tcPr>
          <w:p w14:paraId="247D14E5">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2022SR0988483</w:t>
            </w:r>
          </w:p>
        </w:tc>
        <w:tc>
          <w:tcPr>
            <w:tcW w:w="2112" w:type="dxa"/>
            <w:gridSpan w:val="2"/>
            <w:vAlign w:val="center"/>
          </w:tcPr>
          <w:p w14:paraId="6D974B83">
            <w:pPr>
              <w:widowControl/>
              <w:spacing w:after="0" w:line="560" w:lineRule="exact"/>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彭艳霞、杨根梦</w:t>
            </w:r>
          </w:p>
        </w:tc>
      </w:tr>
      <w:tr w14:paraId="711C6A98">
        <w:tc>
          <w:tcPr>
            <w:tcW w:w="1441" w:type="dxa"/>
            <w:vAlign w:val="center"/>
          </w:tcPr>
          <w:p w14:paraId="7F4B91FA">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10</w:t>
            </w:r>
          </w:p>
        </w:tc>
        <w:tc>
          <w:tcPr>
            <w:tcW w:w="3769" w:type="dxa"/>
            <w:vAlign w:val="center"/>
          </w:tcPr>
          <w:p w14:paraId="112C26A6">
            <w:pPr>
              <w:widowControl/>
              <w:spacing w:after="0" w:line="560" w:lineRule="exac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毒品滥用动物实验数据采集分析系统</w:t>
            </w:r>
          </w:p>
        </w:tc>
        <w:tc>
          <w:tcPr>
            <w:tcW w:w="2325" w:type="dxa"/>
            <w:vAlign w:val="center"/>
          </w:tcPr>
          <w:p w14:paraId="65D36779">
            <w:pPr>
              <w:widowControl/>
              <w:spacing w:after="0" w:line="560" w:lineRule="exact"/>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2022SR1161418</w:t>
            </w:r>
          </w:p>
        </w:tc>
        <w:tc>
          <w:tcPr>
            <w:tcW w:w="2112" w:type="dxa"/>
            <w:gridSpan w:val="2"/>
            <w:vAlign w:val="center"/>
          </w:tcPr>
          <w:p w14:paraId="7A357D7F">
            <w:pPr>
              <w:widowControl/>
              <w:spacing w:after="0" w:line="560" w:lineRule="exact"/>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洪仕君、彭艳霞、杨根梦、沈宝玉</w:t>
            </w:r>
          </w:p>
        </w:tc>
      </w:tr>
      <w:tr w14:paraId="2E08688B">
        <w:tc>
          <w:tcPr>
            <w:tcW w:w="1441" w:type="dxa"/>
            <w:vAlign w:val="center"/>
          </w:tcPr>
          <w:p w14:paraId="6A3233FD">
            <w:pPr>
              <w:widowControl/>
              <w:spacing w:after="0" w:line="560" w:lineRule="exact"/>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序号</w:t>
            </w:r>
          </w:p>
        </w:tc>
        <w:tc>
          <w:tcPr>
            <w:tcW w:w="3769" w:type="dxa"/>
            <w:vAlign w:val="center"/>
          </w:tcPr>
          <w:p w14:paraId="23016AF8">
            <w:pPr>
              <w:widowControl/>
              <w:spacing w:after="0" w:line="560" w:lineRule="exact"/>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论文标题</w:t>
            </w:r>
          </w:p>
        </w:tc>
        <w:tc>
          <w:tcPr>
            <w:tcW w:w="2453" w:type="dxa"/>
            <w:gridSpan w:val="2"/>
            <w:vAlign w:val="center"/>
          </w:tcPr>
          <w:p w14:paraId="087181D1">
            <w:pPr>
              <w:widowControl/>
              <w:spacing w:after="0" w:line="560" w:lineRule="exact"/>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作者名称</w:t>
            </w:r>
          </w:p>
        </w:tc>
        <w:tc>
          <w:tcPr>
            <w:tcW w:w="1984" w:type="dxa"/>
            <w:vAlign w:val="center"/>
          </w:tcPr>
          <w:p w14:paraId="058DDA9D">
            <w:pPr>
              <w:widowControl/>
              <w:spacing w:after="0" w:line="560" w:lineRule="exact"/>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中文名称</w:t>
            </w:r>
          </w:p>
        </w:tc>
      </w:tr>
      <w:tr w14:paraId="31B6C43E">
        <w:tc>
          <w:tcPr>
            <w:tcW w:w="1441" w:type="dxa"/>
            <w:vAlign w:val="center"/>
          </w:tcPr>
          <w:p w14:paraId="139F561E">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c>
          <w:tcPr>
            <w:tcW w:w="3769" w:type="dxa"/>
            <w:vAlign w:val="center"/>
          </w:tcPr>
          <w:p w14:paraId="6AF12F65">
            <w:pPr>
              <w:numPr>
                <w:ilvl w:val="0"/>
                <w:numId w:val="0"/>
              </w:numPr>
              <w:spacing w:line="288"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Cannabidiol prevents methamphetamine-induced neurotoxicity by modulating </w:t>
            </w:r>
          </w:p>
          <w:p w14:paraId="2E36741D">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dopamine receptor D1-mediated calcium-dependent phosphorylation of methyl-CpG-binding protein 2</w:t>
            </w:r>
          </w:p>
        </w:tc>
        <w:tc>
          <w:tcPr>
            <w:tcW w:w="2453" w:type="dxa"/>
            <w:gridSpan w:val="2"/>
            <w:vAlign w:val="center"/>
          </w:tcPr>
          <w:p w14:paraId="364A176A">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李利华、洪仕君、沈宝玉</w:t>
            </w:r>
          </w:p>
        </w:tc>
        <w:tc>
          <w:tcPr>
            <w:tcW w:w="1984" w:type="dxa"/>
            <w:vAlign w:val="center"/>
          </w:tcPr>
          <w:p w14:paraId="53710417">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大麻二酚通过调节多巴胺受体D1介导甲基-CpG结合蛋白2钙依赖性磷酸化，预防甲基苯丙胺诱导的神经毒性</w:t>
            </w:r>
          </w:p>
        </w:tc>
      </w:tr>
      <w:tr w14:paraId="324477FC">
        <w:tc>
          <w:tcPr>
            <w:tcW w:w="1441" w:type="dxa"/>
            <w:vAlign w:val="center"/>
          </w:tcPr>
          <w:p w14:paraId="4B9348DA">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p>
        </w:tc>
        <w:tc>
          <w:tcPr>
            <w:tcW w:w="3769" w:type="dxa"/>
            <w:vAlign w:val="center"/>
          </w:tcPr>
          <w:p w14:paraId="0FF8DB6B">
            <w:pPr>
              <w:numPr>
                <w:ilvl w:val="0"/>
                <w:numId w:val="0"/>
              </w:numPr>
              <w:spacing w:line="288"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Cannabidiol inhibits methamphetamine-induced dopamine release via modulation of the DRD1-</w:t>
            </w:r>
          </w:p>
          <w:p w14:paraId="3F85C93B">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MeCP2-BDNF-TrkB signaling pathway</w:t>
            </w:r>
          </w:p>
        </w:tc>
        <w:tc>
          <w:tcPr>
            <w:tcW w:w="2325" w:type="dxa"/>
            <w:vAlign w:val="center"/>
          </w:tcPr>
          <w:p w14:paraId="0834F788">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李利华、洪仕君、沈宝玉</w:t>
            </w:r>
          </w:p>
        </w:tc>
        <w:tc>
          <w:tcPr>
            <w:tcW w:w="2112" w:type="dxa"/>
            <w:gridSpan w:val="2"/>
            <w:vAlign w:val="center"/>
          </w:tcPr>
          <w:p w14:paraId="7308C397">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大麻二酚通过调控DRD1-MeCP2-BDNF-TrkB信号通路，抑制甲基苯丙胺诱导多巴胺释放</w:t>
            </w:r>
          </w:p>
        </w:tc>
      </w:tr>
      <w:tr w14:paraId="5CF78AB9">
        <w:tc>
          <w:tcPr>
            <w:tcW w:w="1441" w:type="dxa"/>
            <w:vAlign w:val="center"/>
          </w:tcPr>
          <w:p w14:paraId="07BBC967">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p>
        </w:tc>
        <w:tc>
          <w:tcPr>
            <w:tcW w:w="3769" w:type="dxa"/>
            <w:vAlign w:val="center"/>
          </w:tcPr>
          <w:p w14:paraId="4A2A3980">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Cannabidiol attenuates methamphetamine-induced cardiac inflammatory response through the PKA/CREB pathway in rats</w:t>
            </w:r>
          </w:p>
        </w:tc>
        <w:tc>
          <w:tcPr>
            <w:tcW w:w="2325" w:type="dxa"/>
            <w:vAlign w:val="center"/>
          </w:tcPr>
          <w:p w14:paraId="50ECCF79">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李利华、洪仕君</w:t>
            </w:r>
          </w:p>
        </w:tc>
        <w:tc>
          <w:tcPr>
            <w:tcW w:w="2112" w:type="dxa"/>
            <w:gridSpan w:val="2"/>
            <w:vAlign w:val="center"/>
          </w:tcPr>
          <w:p w14:paraId="38FF7EC8">
            <w:pPr>
              <w:numPr>
                <w:ilvl w:val="0"/>
                <w:numId w:val="0"/>
              </w:numPr>
              <w:spacing w:line="288"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大麻二酚通过PKA/</w:t>
            </w:r>
          </w:p>
          <w:p w14:paraId="27E024FB">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CREB通路减轻甲基苯丙胺诱导的大鼠心脏炎症反应</w:t>
            </w:r>
          </w:p>
        </w:tc>
      </w:tr>
      <w:tr w14:paraId="76BF7B5C">
        <w:tc>
          <w:tcPr>
            <w:tcW w:w="1441" w:type="dxa"/>
            <w:vAlign w:val="center"/>
          </w:tcPr>
          <w:p w14:paraId="1F91B75F">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w:t>
            </w:r>
          </w:p>
        </w:tc>
        <w:tc>
          <w:tcPr>
            <w:tcW w:w="3769" w:type="dxa"/>
            <w:vAlign w:val="center"/>
          </w:tcPr>
          <w:p w14:paraId="34347B06">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Handheld UV spectrophotometer device for detection of methamphetamine hydrochloride based on supramolecular sensing platform</w:t>
            </w:r>
          </w:p>
        </w:tc>
        <w:tc>
          <w:tcPr>
            <w:tcW w:w="2325" w:type="dxa"/>
            <w:vAlign w:val="center"/>
          </w:tcPr>
          <w:p w14:paraId="7898DB1E">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张瑞林</w:t>
            </w:r>
          </w:p>
        </w:tc>
        <w:tc>
          <w:tcPr>
            <w:tcW w:w="2112" w:type="dxa"/>
            <w:gridSpan w:val="2"/>
            <w:vAlign w:val="center"/>
          </w:tcPr>
          <w:p w14:paraId="1B1B05F0">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基于超分子传感平台的手持式紫外分光光度计用于检测盐酸甲基苯丙胺</w:t>
            </w:r>
          </w:p>
        </w:tc>
      </w:tr>
      <w:tr w14:paraId="07FDDE2C">
        <w:tc>
          <w:tcPr>
            <w:tcW w:w="1441" w:type="dxa"/>
            <w:vAlign w:val="center"/>
          </w:tcPr>
          <w:p w14:paraId="2AEC7AF3">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w:t>
            </w:r>
          </w:p>
        </w:tc>
        <w:tc>
          <w:tcPr>
            <w:tcW w:w="3769" w:type="dxa"/>
            <w:vAlign w:val="center"/>
          </w:tcPr>
          <w:p w14:paraId="4D357FF0">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Water-soluble pillar[5]arene modified graphdiyne functional material and its application towards ultrasensitive and robust electrochemical methylamphetamine determination</w:t>
            </w:r>
          </w:p>
        </w:tc>
        <w:tc>
          <w:tcPr>
            <w:tcW w:w="2325" w:type="dxa"/>
            <w:vAlign w:val="center"/>
          </w:tcPr>
          <w:p w14:paraId="1879F4DA">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张瑞林</w:t>
            </w:r>
          </w:p>
        </w:tc>
        <w:tc>
          <w:tcPr>
            <w:tcW w:w="2112" w:type="dxa"/>
            <w:gridSpan w:val="2"/>
            <w:vAlign w:val="center"/>
          </w:tcPr>
          <w:p w14:paraId="19B320CB">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水溶性柱[5]芳烃修饰的石墨炔功能材料及其在超灵敏、高稳定性电化学检测甲基苯丙胺中的应用</w:t>
            </w:r>
          </w:p>
        </w:tc>
      </w:tr>
      <w:tr w14:paraId="7410049A">
        <w:tc>
          <w:tcPr>
            <w:tcW w:w="1441" w:type="dxa"/>
            <w:vAlign w:val="center"/>
          </w:tcPr>
          <w:p w14:paraId="3140E9F8">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w:t>
            </w:r>
          </w:p>
        </w:tc>
        <w:tc>
          <w:tcPr>
            <w:tcW w:w="3769" w:type="dxa"/>
            <w:vAlign w:val="center"/>
          </w:tcPr>
          <w:p w14:paraId="225C9A79">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The Potential Role of PKA/CREB Signaling Pathway Concerned with Gastrodin Administration on Methamphetamine-Induced ConditionedPlace Preference Rats and SH-SY5Y Cell Line</w:t>
            </w:r>
          </w:p>
        </w:tc>
        <w:tc>
          <w:tcPr>
            <w:tcW w:w="2325" w:type="dxa"/>
            <w:shd w:val="clear" w:color="auto" w:fill="auto"/>
            <w:vAlign w:val="center"/>
          </w:tcPr>
          <w:p w14:paraId="4B88CEA1">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李利华、洪仕君、杨根梦</w:t>
            </w:r>
          </w:p>
        </w:tc>
        <w:tc>
          <w:tcPr>
            <w:tcW w:w="2112" w:type="dxa"/>
            <w:gridSpan w:val="2"/>
            <w:vAlign w:val="center"/>
          </w:tcPr>
          <w:p w14:paraId="5A6BC922">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天麻素对甲基苯丙胺诱导大鼠条件性位置偏爱及SH-</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SY5Y细胞系中PKA/CREB信号通路</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rPr>
              <w:t>潜在作用</w:t>
            </w:r>
          </w:p>
        </w:tc>
      </w:tr>
      <w:tr w14:paraId="20C6E1E7">
        <w:tc>
          <w:tcPr>
            <w:tcW w:w="1441" w:type="dxa"/>
            <w:vAlign w:val="center"/>
          </w:tcPr>
          <w:p w14:paraId="258D6D53">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w:t>
            </w:r>
          </w:p>
        </w:tc>
        <w:tc>
          <w:tcPr>
            <w:tcW w:w="3769" w:type="dxa"/>
            <w:vAlign w:val="center"/>
          </w:tcPr>
          <w:p w14:paraId="3DA7D9DA">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Nrf2 protects against methamphetamine-induced nephrotoxicity by mitigating oxidative stress and autophagy in mice</w:t>
            </w:r>
          </w:p>
        </w:tc>
        <w:tc>
          <w:tcPr>
            <w:tcW w:w="2325" w:type="dxa"/>
            <w:shd w:val="clear" w:color="auto" w:fill="auto"/>
            <w:vAlign w:val="center"/>
          </w:tcPr>
          <w:p w14:paraId="6B5D4BB9">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李利华、洪仕君</w:t>
            </w:r>
          </w:p>
        </w:tc>
        <w:tc>
          <w:tcPr>
            <w:tcW w:w="2112" w:type="dxa"/>
            <w:gridSpan w:val="2"/>
            <w:vAlign w:val="center"/>
          </w:tcPr>
          <w:p w14:paraId="752ED5A4">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Nrf2通过减轻氧化应激和自噬，保护小鼠免受甲基苯丙胺诱导的肾毒性</w:t>
            </w:r>
          </w:p>
        </w:tc>
      </w:tr>
      <w:tr w14:paraId="204AF5A7">
        <w:tc>
          <w:tcPr>
            <w:tcW w:w="1441" w:type="dxa"/>
            <w:vAlign w:val="center"/>
          </w:tcPr>
          <w:p w14:paraId="08D50EFF">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w:t>
            </w:r>
          </w:p>
        </w:tc>
        <w:tc>
          <w:tcPr>
            <w:tcW w:w="3769" w:type="dxa"/>
            <w:vAlign w:val="center"/>
          </w:tcPr>
          <w:p w14:paraId="70AD0953">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Nrf2 attenuates methamphetamine-induced myocardial injury by regulating oxidative stress and apoptosis in mice</w:t>
            </w:r>
          </w:p>
        </w:tc>
        <w:tc>
          <w:tcPr>
            <w:tcW w:w="2325" w:type="dxa"/>
            <w:vAlign w:val="center"/>
          </w:tcPr>
          <w:p w14:paraId="2936ED46">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李利华、洪仕君</w:t>
            </w:r>
          </w:p>
        </w:tc>
        <w:tc>
          <w:tcPr>
            <w:tcW w:w="2112" w:type="dxa"/>
            <w:gridSpan w:val="2"/>
            <w:vAlign w:val="center"/>
          </w:tcPr>
          <w:p w14:paraId="3B394CFA">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Nrf2通过调节氧化应激和细胞凋亡，减轻甲基苯丙胺诱导的小鼠心肌损伤</w:t>
            </w:r>
          </w:p>
        </w:tc>
      </w:tr>
      <w:tr w14:paraId="6A98F01F">
        <w:tc>
          <w:tcPr>
            <w:tcW w:w="1441" w:type="dxa"/>
            <w:vAlign w:val="center"/>
          </w:tcPr>
          <w:p w14:paraId="76BED18B">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w:t>
            </w:r>
          </w:p>
        </w:tc>
        <w:tc>
          <w:tcPr>
            <w:tcW w:w="3769" w:type="dxa"/>
            <w:vAlign w:val="center"/>
          </w:tcPr>
          <w:p w14:paraId="1179C573">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The effects of ketamine and methamphetamine on neurotransmitters, glutamate receptors, and conditioned place preference in rat</w:t>
            </w:r>
          </w:p>
        </w:tc>
        <w:tc>
          <w:tcPr>
            <w:tcW w:w="2325" w:type="dxa"/>
            <w:vAlign w:val="center"/>
          </w:tcPr>
          <w:p w14:paraId="07987B50">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李利华、洪仕君、彭艳霞</w:t>
            </w:r>
          </w:p>
        </w:tc>
        <w:tc>
          <w:tcPr>
            <w:tcW w:w="2112" w:type="dxa"/>
            <w:gridSpan w:val="2"/>
            <w:vAlign w:val="center"/>
          </w:tcPr>
          <w:p w14:paraId="7FBF57D1">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氯胺酮和甲基苯丙胺对大鼠神经递质、谷氨酸受体及条件性位置偏爱的影响</w:t>
            </w:r>
          </w:p>
        </w:tc>
      </w:tr>
      <w:tr w14:paraId="3F1D042F">
        <w:tc>
          <w:tcPr>
            <w:tcW w:w="1441" w:type="dxa"/>
            <w:vAlign w:val="center"/>
          </w:tcPr>
          <w:p w14:paraId="0840D791">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p>
        </w:tc>
        <w:tc>
          <w:tcPr>
            <w:tcW w:w="3769" w:type="dxa"/>
            <w:vAlign w:val="center"/>
          </w:tcPr>
          <w:p w14:paraId="3A9A8448">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Methamphetamine and HIV-1 Tat proteins synergistically induce  microglial autophagy via activation of the Nrf2/NQO1/HO-1 signal pathway</w:t>
            </w:r>
          </w:p>
        </w:tc>
        <w:tc>
          <w:tcPr>
            <w:tcW w:w="2325" w:type="dxa"/>
            <w:vAlign w:val="center"/>
          </w:tcPr>
          <w:p w14:paraId="54D1973F">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李利华、洪仕君、杨根梦</w:t>
            </w:r>
          </w:p>
        </w:tc>
        <w:tc>
          <w:tcPr>
            <w:tcW w:w="2112" w:type="dxa"/>
            <w:gridSpan w:val="2"/>
            <w:vAlign w:val="center"/>
          </w:tcPr>
          <w:p w14:paraId="7F37AA91">
            <w:pPr>
              <w:numPr>
                <w:ilvl w:val="0"/>
                <w:numId w:val="0"/>
              </w:numPr>
              <w:spacing w:line="288"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甲基苯丙胺与HIV-1 Tat蛋白通过激活Nrf2/</w:t>
            </w:r>
          </w:p>
          <w:p w14:paraId="07A4249B">
            <w:pPr>
              <w:numPr>
                <w:ilvl w:val="0"/>
                <w:numId w:val="0"/>
              </w:numPr>
              <w:spacing w:line="288"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NQO1/HO-1信号通路协同诱导小胶质细胞自噬</w:t>
            </w:r>
          </w:p>
        </w:tc>
      </w:tr>
    </w:tbl>
    <w:p w14:paraId="58B09531">
      <w:pPr>
        <w:widowControl/>
        <w:spacing w:after="0" w:line="560" w:lineRule="exact"/>
        <w:rPr>
          <w:rFonts w:hint="default" w:ascii="仿宋_GB2312" w:eastAsia="仿宋_GB2312" w:hAnsiTheme="minorHAnsi" w:cstheme="minorBidi"/>
          <w:b/>
          <w:bCs/>
          <w:kern w:val="2"/>
          <w:sz w:val="32"/>
          <w:szCs w:val="32"/>
          <w:lang w:val="en-US" w:eastAsia="zh-CN" w:bidi="ar-SA"/>
        </w:rPr>
      </w:pPr>
      <w:r>
        <w:rPr>
          <w:rFonts w:hint="default" w:ascii="仿宋_GB2312" w:eastAsia="仿宋_GB2312" w:hAnsiTheme="minorHAnsi" w:cstheme="minorBidi"/>
          <w:b/>
          <w:bCs/>
          <w:kern w:val="2"/>
          <w:sz w:val="32"/>
          <w:szCs w:val="32"/>
          <w:lang w:val="en-US" w:eastAsia="zh-CN" w:bidi="ar-SA"/>
        </w:rPr>
        <w:t>主要完成单位：</w:t>
      </w:r>
      <w:r>
        <w:rPr>
          <w:rFonts w:hint="eastAsia" w:ascii="仿宋_GB2312" w:eastAsia="仿宋_GB2312" w:cstheme="minorBidi"/>
          <w:b/>
          <w:bCs/>
          <w:kern w:val="2"/>
          <w:sz w:val="32"/>
          <w:szCs w:val="32"/>
          <w:lang w:val="en-US" w:eastAsia="zh-CN" w:bidi="ar-SA"/>
        </w:rPr>
        <w:t>昆明医科大学</w:t>
      </w:r>
    </w:p>
    <w:p w14:paraId="09585305">
      <w:pPr>
        <w:widowControl/>
        <w:spacing w:after="0" w:line="560" w:lineRule="exact"/>
        <w:rPr>
          <w:rFonts w:hint="default" w:ascii="仿宋_GB2312" w:eastAsia="仿宋_GB2312" w:hAnsiTheme="minorHAnsi" w:cstheme="minorBidi"/>
          <w:b/>
          <w:bCs/>
          <w:kern w:val="2"/>
          <w:sz w:val="32"/>
          <w:szCs w:val="32"/>
          <w:lang w:val="en-US" w:eastAsia="zh-CN" w:bidi="ar-SA"/>
        </w:rPr>
      </w:pPr>
      <w:r>
        <w:rPr>
          <w:rFonts w:hint="default" w:ascii="仿宋_GB2312" w:eastAsia="仿宋_GB2312" w:hAnsiTheme="minorHAnsi" w:cstheme="minorBidi"/>
          <w:b/>
          <w:bCs/>
          <w:kern w:val="2"/>
          <w:sz w:val="32"/>
          <w:szCs w:val="32"/>
          <w:lang w:val="en-US" w:eastAsia="zh-CN" w:bidi="ar-SA"/>
        </w:rPr>
        <w:t>主要完成人基本情况：</w:t>
      </w:r>
      <w:bookmarkStart w:id="2" w:name="_GoBack"/>
      <w:bookmarkEnd w:id="2"/>
    </w:p>
    <w:tbl>
      <w:tblPr>
        <w:tblStyle w:val="5"/>
        <w:tblW w:w="9550"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2149"/>
        <w:gridCol w:w="1924"/>
        <w:gridCol w:w="2136"/>
        <w:gridCol w:w="3341"/>
      </w:tblGrid>
      <w:tr w14:paraId="1A48355E">
        <w:trPr>
          <w:tblCellSpacing w:w="0" w:type="dxa"/>
          <w:jc w:val="center"/>
        </w:trPr>
        <w:tc>
          <w:tcPr>
            <w:tcW w:w="2149" w:type="dxa"/>
            <w:tcBorders>
              <w:tl2br w:val="nil"/>
              <w:tr2bl w:val="nil"/>
            </w:tcBorders>
            <w:tcMar>
              <w:top w:w="85" w:type="dxa"/>
              <w:left w:w="108" w:type="dxa"/>
              <w:bottom w:w="85" w:type="dxa"/>
              <w:right w:w="108" w:type="dxa"/>
            </w:tcMar>
            <w:vAlign w:val="center"/>
          </w:tcPr>
          <w:p w14:paraId="1C758E9B">
            <w:pPr>
              <w:widowControl/>
              <w:spacing w:after="0" w:line="560" w:lineRule="exact"/>
              <w:rPr>
                <w:rFonts w:hint="eastAsia" w:ascii="仿宋_GB2312" w:eastAsia="仿宋_GB2312" w:hAnsiTheme="minorHAnsi" w:cstheme="minorBidi"/>
                <w:b/>
                <w:bCs/>
                <w:kern w:val="2"/>
                <w:sz w:val="32"/>
                <w:szCs w:val="32"/>
                <w:lang w:val="en-US" w:eastAsia="zh-CN" w:bidi="ar-SA"/>
              </w:rPr>
            </w:pPr>
            <w:bookmarkStart w:id="0" w:name="_Hlk196484839"/>
            <w:r>
              <w:rPr>
                <w:rFonts w:hint="eastAsia" w:ascii="仿宋_GB2312" w:eastAsia="仿宋_GB2312" w:hAnsiTheme="minorHAnsi" w:cstheme="minorBidi"/>
                <w:b/>
                <w:bCs/>
                <w:kern w:val="2"/>
                <w:sz w:val="32"/>
                <w:szCs w:val="32"/>
                <w:lang w:val="en-US" w:eastAsia="zh-CN" w:bidi="ar-SA"/>
              </w:rPr>
              <w:t>姓名</w:t>
            </w:r>
          </w:p>
        </w:tc>
        <w:tc>
          <w:tcPr>
            <w:tcW w:w="1924" w:type="dxa"/>
            <w:tcBorders>
              <w:tl2br w:val="nil"/>
              <w:tr2bl w:val="nil"/>
            </w:tcBorders>
            <w:tcMar>
              <w:top w:w="85" w:type="dxa"/>
              <w:left w:w="108" w:type="dxa"/>
              <w:bottom w:w="85" w:type="dxa"/>
              <w:right w:w="108" w:type="dxa"/>
            </w:tcMar>
            <w:vAlign w:val="center"/>
          </w:tcPr>
          <w:p w14:paraId="64EC9517">
            <w:pPr>
              <w:widowControl/>
              <w:spacing w:after="0" w:line="560" w:lineRule="exact"/>
              <w:rPr>
                <w:rFonts w:hint="eastAsia" w:ascii="仿宋_GB2312" w:eastAsia="仿宋_GB2312" w:hAnsiTheme="minorHAnsi"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工作单位</w:t>
            </w:r>
          </w:p>
        </w:tc>
        <w:tc>
          <w:tcPr>
            <w:tcW w:w="2136" w:type="dxa"/>
            <w:tcBorders>
              <w:tl2br w:val="nil"/>
              <w:tr2bl w:val="nil"/>
            </w:tcBorders>
            <w:tcMar>
              <w:top w:w="85" w:type="dxa"/>
              <w:left w:w="108" w:type="dxa"/>
              <w:bottom w:w="85" w:type="dxa"/>
              <w:right w:w="108" w:type="dxa"/>
            </w:tcMar>
            <w:vAlign w:val="center"/>
          </w:tcPr>
          <w:p w14:paraId="632089D1">
            <w:pPr>
              <w:widowControl/>
              <w:spacing w:after="0" w:line="560" w:lineRule="exact"/>
              <w:rPr>
                <w:rFonts w:hint="eastAsia" w:ascii="仿宋_GB2312" w:eastAsia="仿宋_GB2312" w:hAnsiTheme="minorHAnsi"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学历/职称</w:t>
            </w:r>
          </w:p>
        </w:tc>
        <w:tc>
          <w:tcPr>
            <w:tcW w:w="3341" w:type="dxa"/>
            <w:tcBorders>
              <w:tl2br w:val="nil"/>
              <w:tr2bl w:val="nil"/>
            </w:tcBorders>
            <w:tcMar>
              <w:top w:w="85" w:type="dxa"/>
              <w:left w:w="108" w:type="dxa"/>
              <w:bottom w:w="85" w:type="dxa"/>
              <w:right w:w="108" w:type="dxa"/>
            </w:tcMar>
            <w:vAlign w:val="center"/>
          </w:tcPr>
          <w:p w14:paraId="7253F76E">
            <w:pPr>
              <w:widowControl/>
              <w:spacing w:after="0" w:line="560" w:lineRule="exact"/>
              <w:rPr>
                <w:rFonts w:hint="eastAsia" w:ascii="仿宋_GB2312" w:eastAsia="仿宋_GB2312" w:hAnsiTheme="minorHAnsi" w:cstheme="minorBidi"/>
                <w:b/>
                <w:bCs/>
                <w:kern w:val="2"/>
                <w:sz w:val="32"/>
                <w:szCs w:val="32"/>
                <w:lang w:val="en-US" w:eastAsia="zh-CN" w:bidi="ar-SA"/>
              </w:rPr>
            </w:pPr>
            <w:r>
              <w:rPr>
                <w:rFonts w:hint="eastAsia" w:ascii="仿宋_GB2312" w:eastAsia="仿宋_GB2312" w:hAnsiTheme="minorHAnsi" w:cstheme="minorBidi"/>
                <w:b/>
                <w:bCs/>
                <w:kern w:val="2"/>
                <w:sz w:val="32"/>
                <w:szCs w:val="32"/>
                <w:lang w:val="en-US" w:eastAsia="zh-CN" w:bidi="ar-SA"/>
              </w:rPr>
              <w:t>职务</w:t>
            </w:r>
          </w:p>
        </w:tc>
      </w:tr>
      <w:tr w14:paraId="20535060">
        <w:trPr>
          <w:tblCellSpacing w:w="0" w:type="dxa"/>
          <w:jc w:val="center"/>
        </w:trPr>
        <w:tc>
          <w:tcPr>
            <w:tcW w:w="2149" w:type="dxa"/>
            <w:tcBorders>
              <w:tl2br w:val="nil"/>
              <w:tr2bl w:val="nil"/>
            </w:tcBorders>
            <w:tcMar>
              <w:top w:w="85" w:type="dxa"/>
              <w:left w:w="108" w:type="dxa"/>
              <w:bottom w:w="85" w:type="dxa"/>
              <w:right w:w="108" w:type="dxa"/>
            </w:tcMar>
          </w:tcPr>
          <w:p w14:paraId="5F341B1B">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李利华</w:t>
            </w:r>
          </w:p>
        </w:tc>
        <w:tc>
          <w:tcPr>
            <w:tcW w:w="1924" w:type="dxa"/>
            <w:tcBorders>
              <w:tl2br w:val="nil"/>
              <w:tr2bl w:val="nil"/>
            </w:tcBorders>
            <w:tcMar>
              <w:top w:w="85" w:type="dxa"/>
              <w:left w:w="108" w:type="dxa"/>
              <w:bottom w:w="85" w:type="dxa"/>
              <w:right w:w="108" w:type="dxa"/>
            </w:tcMar>
          </w:tcPr>
          <w:p w14:paraId="6D00D158">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w:t>
            </w:r>
          </w:p>
        </w:tc>
        <w:tc>
          <w:tcPr>
            <w:tcW w:w="2136" w:type="dxa"/>
            <w:tcBorders>
              <w:tl2br w:val="nil"/>
              <w:tr2bl w:val="nil"/>
            </w:tcBorders>
            <w:tcMar>
              <w:top w:w="85" w:type="dxa"/>
              <w:left w:w="108" w:type="dxa"/>
              <w:bottom w:w="85" w:type="dxa"/>
              <w:right w:w="108" w:type="dxa"/>
            </w:tcMar>
          </w:tcPr>
          <w:p w14:paraId="536C0472">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硕士/教授</w:t>
            </w:r>
          </w:p>
        </w:tc>
        <w:tc>
          <w:tcPr>
            <w:tcW w:w="3341" w:type="dxa"/>
            <w:tcBorders>
              <w:tl2br w:val="nil"/>
              <w:tr2bl w:val="nil"/>
            </w:tcBorders>
            <w:tcMar>
              <w:top w:w="85" w:type="dxa"/>
              <w:left w:w="108" w:type="dxa"/>
              <w:bottom w:w="85" w:type="dxa"/>
              <w:right w:w="108" w:type="dxa"/>
            </w:tcMar>
            <w:vAlign w:val="center"/>
          </w:tcPr>
          <w:p w14:paraId="71F35D68">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昆明医科大学党委常委、副校长</w:t>
            </w:r>
          </w:p>
        </w:tc>
      </w:tr>
      <w:tr w14:paraId="69AEFD8B">
        <w:trPr>
          <w:tblCellSpacing w:w="0" w:type="dxa"/>
          <w:jc w:val="center"/>
        </w:trPr>
        <w:tc>
          <w:tcPr>
            <w:tcW w:w="2149" w:type="dxa"/>
            <w:tcBorders>
              <w:tl2br w:val="nil"/>
              <w:tr2bl w:val="nil"/>
            </w:tcBorders>
            <w:tcMar>
              <w:top w:w="85" w:type="dxa"/>
              <w:left w:w="108" w:type="dxa"/>
              <w:bottom w:w="85" w:type="dxa"/>
              <w:right w:w="108" w:type="dxa"/>
            </w:tcMar>
          </w:tcPr>
          <w:p w14:paraId="373F3470">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洪仕君</w:t>
            </w:r>
          </w:p>
        </w:tc>
        <w:tc>
          <w:tcPr>
            <w:tcW w:w="1924" w:type="dxa"/>
            <w:tcBorders>
              <w:tl2br w:val="nil"/>
              <w:tr2bl w:val="nil"/>
            </w:tcBorders>
            <w:tcMar>
              <w:top w:w="85" w:type="dxa"/>
              <w:left w:w="108" w:type="dxa"/>
              <w:bottom w:w="85" w:type="dxa"/>
              <w:right w:w="108" w:type="dxa"/>
            </w:tcMar>
          </w:tcPr>
          <w:p w14:paraId="0ECB840F">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w:t>
            </w:r>
          </w:p>
        </w:tc>
        <w:tc>
          <w:tcPr>
            <w:tcW w:w="2136" w:type="dxa"/>
            <w:tcBorders>
              <w:tl2br w:val="nil"/>
              <w:tr2bl w:val="nil"/>
            </w:tcBorders>
            <w:tcMar>
              <w:top w:w="85" w:type="dxa"/>
              <w:left w:w="108" w:type="dxa"/>
              <w:bottom w:w="85" w:type="dxa"/>
              <w:right w:w="108" w:type="dxa"/>
            </w:tcMar>
          </w:tcPr>
          <w:p w14:paraId="3095DEFC">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博士/教授</w:t>
            </w:r>
          </w:p>
        </w:tc>
        <w:tc>
          <w:tcPr>
            <w:tcW w:w="3341" w:type="dxa"/>
            <w:tcBorders>
              <w:tl2br w:val="nil"/>
              <w:tr2bl w:val="nil"/>
            </w:tcBorders>
            <w:tcMar>
              <w:top w:w="85" w:type="dxa"/>
              <w:left w:w="108" w:type="dxa"/>
              <w:bottom w:w="85" w:type="dxa"/>
              <w:right w:w="108" w:type="dxa"/>
            </w:tcMar>
            <w:vAlign w:val="center"/>
          </w:tcPr>
          <w:p w14:paraId="0098317B">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法医学院院长</w:t>
            </w:r>
          </w:p>
        </w:tc>
      </w:tr>
      <w:tr w14:paraId="44AA6ACE">
        <w:trPr>
          <w:tblCellSpacing w:w="0" w:type="dxa"/>
          <w:jc w:val="center"/>
        </w:trPr>
        <w:tc>
          <w:tcPr>
            <w:tcW w:w="2149" w:type="dxa"/>
            <w:tcMar>
              <w:top w:w="85" w:type="dxa"/>
              <w:left w:w="108" w:type="dxa"/>
              <w:bottom w:w="85" w:type="dxa"/>
              <w:right w:w="108" w:type="dxa"/>
            </w:tcMar>
          </w:tcPr>
          <w:p w14:paraId="7941B0BC">
            <w:pPr>
              <w:numPr>
                <w:ilvl w:val="0"/>
                <w:numId w:val="0"/>
              </w:numPr>
              <w:spacing w:line="288" w:lineRule="auto"/>
              <w:rPr>
                <w:rFonts w:hint="eastAsia" w:ascii="仿宋_GB2312" w:hAnsi="仿宋_GB2312" w:eastAsia="仿宋_GB2312" w:cs="仿宋_GB2312"/>
                <w:sz w:val="32"/>
                <w:szCs w:val="32"/>
                <w:lang w:val="en-US" w:eastAsia="zh-CN"/>
              </w:rPr>
            </w:pPr>
            <w:bookmarkStart w:id="1" w:name="_Hlk196234403"/>
            <w:r>
              <w:rPr>
                <w:rFonts w:hint="eastAsia" w:ascii="仿宋_GB2312" w:hAnsi="仿宋_GB2312" w:eastAsia="仿宋_GB2312" w:cs="仿宋_GB2312"/>
                <w:sz w:val="32"/>
                <w:szCs w:val="32"/>
                <w:lang w:val="en-US" w:eastAsia="zh-CN"/>
              </w:rPr>
              <w:t>张瑞林</w:t>
            </w:r>
          </w:p>
        </w:tc>
        <w:tc>
          <w:tcPr>
            <w:tcW w:w="1924" w:type="dxa"/>
            <w:tcMar>
              <w:top w:w="85" w:type="dxa"/>
              <w:left w:w="108" w:type="dxa"/>
              <w:bottom w:w="85" w:type="dxa"/>
              <w:right w:w="108" w:type="dxa"/>
            </w:tcMar>
          </w:tcPr>
          <w:p w14:paraId="68260F89">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w:t>
            </w:r>
          </w:p>
        </w:tc>
        <w:tc>
          <w:tcPr>
            <w:tcW w:w="2136" w:type="dxa"/>
            <w:tcMar>
              <w:top w:w="85" w:type="dxa"/>
              <w:left w:w="108" w:type="dxa"/>
              <w:bottom w:w="85" w:type="dxa"/>
              <w:right w:w="108" w:type="dxa"/>
            </w:tcMar>
          </w:tcPr>
          <w:p w14:paraId="172EE2B3">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博士/副教授</w:t>
            </w:r>
          </w:p>
        </w:tc>
        <w:tc>
          <w:tcPr>
            <w:tcW w:w="3341" w:type="dxa"/>
            <w:tcMar>
              <w:top w:w="85" w:type="dxa"/>
              <w:left w:w="108" w:type="dxa"/>
              <w:bottom w:w="85" w:type="dxa"/>
              <w:right w:w="108" w:type="dxa"/>
            </w:tcMar>
            <w:vAlign w:val="center"/>
          </w:tcPr>
          <w:p w14:paraId="7CBB9E07">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科技处副处长</w:t>
            </w:r>
          </w:p>
        </w:tc>
      </w:tr>
      <w:bookmarkEnd w:id="1"/>
      <w:tr w14:paraId="24879744">
        <w:trPr>
          <w:tblCellSpacing w:w="0" w:type="dxa"/>
          <w:jc w:val="center"/>
        </w:trPr>
        <w:tc>
          <w:tcPr>
            <w:tcW w:w="2149" w:type="dxa"/>
            <w:tcBorders>
              <w:tl2br w:val="nil"/>
              <w:tr2bl w:val="nil"/>
            </w:tcBorders>
            <w:tcMar>
              <w:top w:w="85" w:type="dxa"/>
              <w:left w:w="108" w:type="dxa"/>
              <w:bottom w:w="85" w:type="dxa"/>
              <w:right w:w="108" w:type="dxa"/>
            </w:tcMar>
          </w:tcPr>
          <w:p w14:paraId="58D028D7">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杨根梦</w:t>
            </w:r>
          </w:p>
        </w:tc>
        <w:tc>
          <w:tcPr>
            <w:tcW w:w="1924" w:type="dxa"/>
            <w:tcBorders>
              <w:tl2br w:val="nil"/>
              <w:tr2bl w:val="nil"/>
            </w:tcBorders>
            <w:tcMar>
              <w:top w:w="85" w:type="dxa"/>
              <w:left w:w="108" w:type="dxa"/>
              <w:bottom w:w="85" w:type="dxa"/>
              <w:right w:w="108" w:type="dxa"/>
            </w:tcMar>
          </w:tcPr>
          <w:p w14:paraId="44BBAF4D">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w:t>
            </w:r>
          </w:p>
        </w:tc>
        <w:tc>
          <w:tcPr>
            <w:tcW w:w="2136" w:type="dxa"/>
            <w:tcBorders>
              <w:tl2br w:val="nil"/>
              <w:tr2bl w:val="nil"/>
            </w:tcBorders>
            <w:tcMar>
              <w:top w:w="85" w:type="dxa"/>
              <w:left w:w="108" w:type="dxa"/>
              <w:bottom w:w="85" w:type="dxa"/>
              <w:right w:w="108" w:type="dxa"/>
            </w:tcMar>
          </w:tcPr>
          <w:p w14:paraId="6F40E5BA">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博士/副教授</w:t>
            </w:r>
          </w:p>
        </w:tc>
        <w:tc>
          <w:tcPr>
            <w:tcW w:w="3341" w:type="dxa"/>
            <w:tcBorders>
              <w:tl2br w:val="nil"/>
              <w:tr2bl w:val="nil"/>
            </w:tcBorders>
            <w:tcMar>
              <w:top w:w="85" w:type="dxa"/>
              <w:left w:w="108" w:type="dxa"/>
              <w:bottom w:w="85" w:type="dxa"/>
              <w:right w:w="108" w:type="dxa"/>
            </w:tcMar>
            <w:vAlign w:val="center"/>
          </w:tcPr>
          <w:p w14:paraId="27B9F8B9">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法医学院学科办主任</w:t>
            </w:r>
          </w:p>
        </w:tc>
      </w:tr>
      <w:tr w14:paraId="76FCEC06">
        <w:trPr>
          <w:tblCellSpacing w:w="0" w:type="dxa"/>
          <w:jc w:val="center"/>
        </w:trPr>
        <w:tc>
          <w:tcPr>
            <w:tcW w:w="2149" w:type="dxa"/>
            <w:tcBorders>
              <w:tl2br w:val="nil"/>
              <w:tr2bl w:val="nil"/>
            </w:tcBorders>
            <w:tcMar>
              <w:top w:w="85" w:type="dxa"/>
              <w:left w:w="108" w:type="dxa"/>
              <w:bottom w:w="85" w:type="dxa"/>
              <w:right w:w="108" w:type="dxa"/>
            </w:tcMar>
          </w:tcPr>
          <w:p w14:paraId="00C2DF2D">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彭艳霞</w:t>
            </w:r>
          </w:p>
        </w:tc>
        <w:tc>
          <w:tcPr>
            <w:tcW w:w="1924" w:type="dxa"/>
            <w:tcBorders>
              <w:tl2br w:val="nil"/>
              <w:tr2bl w:val="nil"/>
            </w:tcBorders>
            <w:tcMar>
              <w:top w:w="85" w:type="dxa"/>
              <w:left w:w="108" w:type="dxa"/>
              <w:bottom w:w="85" w:type="dxa"/>
              <w:right w:w="108" w:type="dxa"/>
            </w:tcMar>
          </w:tcPr>
          <w:p w14:paraId="4EF88229">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w:t>
            </w:r>
          </w:p>
        </w:tc>
        <w:tc>
          <w:tcPr>
            <w:tcW w:w="2136" w:type="dxa"/>
            <w:tcBorders>
              <w:tl2br w:val="nil"/>
              <w:tr2bl w:val="nil"/>
            </w:tcBorders>
            <w:tcMar>
              <w:top w:w="85" w:type="dxa"/>
              <w:left w:w="108" w:type="dxa"/>
              <w:bottom w:w="85" w:type="dxa"/>
              <w:right w:w="108" w:type="dxa"/>
            </w:tcMar>
          </w:tcPr>
          <w:p w14:paraId="2EA63D4F">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博士/副教授</w:t>
            </w:r>
          </w:p>
        </w:tc>
        <w:tc>
          <w:tcPr>
            <w:tcW w:w="3341" w:type="dxa"/>
            <w:tcBorders>
              <w:tl2br w:val="nil"/>
              <w:tr2bl w:val="nil"/>
            </w:tcBorders>
            <w:tcMar>
              <w:top w:w="85" w:type="dxa"/>
              <w:left w:w="108" w:type="dxa"/>
              <w:bottom w:w="85" w:type="dxa"/>
              <w:right w:w="108" w:type="dxa"/>
            </w:tcMar>
            <w:vAlign w:val="center"/>
          </w:tcPr>
          <w:p w14:paraId="3A8AB98B">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tc>
      </w:tr>
      <w:tr w14:paraId="6BD0852C">
        <w:trPr>
          <w:tblCellSpacing w:w="0" w:type="dxa"/>
          <w:jc w:val="center"/>
        </w:trPr>
        <w:tc>
          <w:tcPr>
            <w:tcW w:w="2149" w:type="dxa"/>
            <w:tcMar>
              <w:top w:w="85" w:type="dxa"/>
              <w:left w:w="108" w:type="dxa"/>
              <w:bottom w:w="85" w:type="dxa"/>
              <w:right w:w="108" w:type="dxa"/>
            </w:tcMar>
          </w:tcPr>
          <w:p w14:paraId="5FF79CE9">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沈宝玉</w:t>
            </w:r>
          </w:p>
        </w:tc>
        <w:tc>
          <w:tcPr>
            <w:tcW w:w="1924" w:type="dxa"/>
            <w:tcMar>
              <w:top w:w="85" w:type="dxa"/>
              <w:left w:w="108" w:type="dxa"/>
              <w:bottom w:w="85" w:type="dxa"/>
              <w:right w:w="108" w:type="dxa"/>
            </w:tcMar>
          </w:tcPr>
          <w:p w14:paraId="394B84DD">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w:t>
            </w:r>
          </w:p>
        </w:tc>
        <w:tc>
          <w:tcPr>
            <w:tcW w:w="2136" w:type="dxa"/>
            <w:tcMar>
              <w:top w:w="85" w:type="dxa"/>
              <w:left w:w="108" w:type="dxa"/>
              <w:bottom w:w="85" w:type="dxa"/>
              <w:right w:w="108" w:type="dxa"/>
            </w:tcMar>
          </w:tcPr>
          <w:p w14:paraId="2134F38B">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博士后在站</w:t>
            </w:r>
          </w:p>
        </w:tc>
        <w:tc>
          <w:tcPr>
            <w:tcW w:w="3341" w:type="dxa"/>
            <w:tcMar>
              <w:top w:w="85" w:type="dxa"/>
              <w:left w:w="108" w:type="dxa"/>
              <w:bottom w:w="85" w:type="dxa"/>
              <w:right w:w="108" w:type="dxa"/>
            </w:tcMar>
            <w:vAlign w:val="center"/>
          </w:tcPr>
          <w:p w14:paraId="076FEC7F">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tc>
      </w:tr>
      <w:tr w14:paraId="22819B9F">
        <w:trPr>
          <w:tblCellSpacing w:w="0" w:type="dxa"/>
          <w:jc w:val="center"/>
        </w:trPr>
        <w:tc>
          <w:tcPr>
            <w:tcW w:w="2149" w:type="dxa"/>
            <w:tcMar>
              <w:top w:w="85" w:type="dxa"/>
              <w:left w:w="108" w:type="dxa"/>
              <w:bottom w:w="85" w:type="dxa"/>
              <w:right w:w="108" w:type="dxa"/>
            </w:tcMar>
          </w:tcPr>
          <w:p w14:paraId="3991DC4D">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官莉娜</w:t>
            </w:r>
          </w:p>
        </w:tc>
        <w:tc>
          <w:tcPr>
            <w:tcW w:w="1924" w:type="dxa"/>
            <w:tcMar>
              <w:top w:w="85" w:type="dxa"/>
              <w:left w:w="108" w:type="dxa"/>
              <w:bottom w:w="85" w:type="dxa"/>
              <w:right w:w="108" w:type="dxa"/>
            </w:tcMar>
          </w:tcPr>
          <w:p w14:paraId="2BBD3E6E">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w:t>
            </w:r>
          </w:p>
        </w:tc>
        <w:tc>
          <w:tcPr>
            <w:tcW w:w="2136" w:type="dxa"/>
            <w:tcMar>
              <w:top w:w="85" w:type="dxa"/>
              <w:left w:w="108" w:type="dxa"/>
              <w:bottom w:w="85" w:type="dxa"/>
              <w:right w:w="108" w:type="dxa"/>
            </w:tcMar>
          </w:tcPr>
          <w:p w14:paraId="1610CE3E">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学士/讲师</w:t>
            </w:r>
          </w:p>
        </w:tc>
        <w:tc>
          <w:tcPr>
            <w:tcW w:w="3341" w:type="dxa"/>
            <w:tcMar>
              <w:top w:w="85" w:type="dxa"/>
              <w:left w:w="108" w:type="dxa"/>
              <w:bottom w:w="85" w:type="dxa"/>
              <w:right w:w="108" w:type="dxa"/>
            </w:tcMar>
            <w:vAlign w:val="center"/>
          </w:tcPr>
          <w:p w14:paraId="1DC4D08E">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昆明医科大学司法鉴定中心主任</w:t>
            </w:r>
          </w:p>
        </w:tc>
      </w:tr>
      <w:tr w14:paraId="2B0F70BB">
        <w:trPr>
          <w:tblCellSpacing w:w="0" w:type="dxa"/>
          <w:jc w:val="center"/>
        </w:trPr>
        <w:tc>
          <w:tcPr>
            <w:tcW w:w="2149" w:type="dxa"/>
            <w:tcMar>
              <w:top w:w="85" w:type="dxa"/>
              <w:left w:w="108" w:type="dxa"/>
              <w:bottom w:w="85" w:type="dxa"/>
              <w:right w:w="108" w:type="dxa"/>
            </w:tcMar>
          </w:tcPr>
          <w:p w14:paraId="267DCF6F">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于洋</w:t>
            </w:r>
          </w:p>
        </w:tc>
        <w:tc>
          <w:tcPr>
            <w:tcW w:w="1924" w:type="dxa"/>
            <w:tcMar>
              <w:top w:w="85" w:type="dxa"/>
              <w:left w:w="108" w:type="dxa"/>
              <w:bottom w:w="85" w:type="dxa"/>
              <w:right w:w="108" w:type="dxa"/>
            </w:tcMar>
          </w:tcPr>
          <w:p w14:paraId="32E3072B">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w:t>
            </w:r>
          </w:p>
        </w:tc>
        <w:tc>
          <w:tcPr>
            <w:tcW w:w="2136" w:type="dxa"/>
            <w:tcMar>
              <w:top w:w="85" w:type="dxa"/>
              <w:left w:w="108" w:type="dxa"/>
              <w:bottom w:w="85" w:type="dxa"/>
              <w:right w:w="108" w:type="dxa"/>
            </w:tcMar>
          </w:tcPr>
          <w:p w14:paraId="13BDBCCD">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硕士/高级实验师</w:t>
            </w:r>
          </w:p>
        </w:tc>
        <w:tc>
          <w:tcPr>
            <w:tcW w:w="3341" w:type="dxa"/>
            <w:tcMar>
              <w:top w:w="85" w:type="dxa"/>
              <w:left w:w="108" w:type="dxa"/>
              <w:bottom w:w="85" w:type="dxa"/>
              <w:right w:w="108" w:type="dxa"/>
            </w:tcMar>
            <w:vAlign w:val="center"/>
          </w:tcPr>
          <w:p w14:paraId="7E994052">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tc>
      </w:tr>
      <w:tr w14:paraId="0A213C53">
        <w:trPr>
          <w:tblCellSpacing w:w="0" w:type="dxa"/>
          <w:jc w:val="center"/>
        </w:trPr>
        <w:tc>
          <w:tcPr>
            <w:tcW w:w="2149" w:type="dxa"/>
            <w:tcMar>
              <w:top w:w="85" w:type="dxa"/>
              <w:left w:w="108" w:type="dxa"/>
              <w:bottom w:w="85" w:type="dxa"/>
              <w:right w:w="108" w:type="dxa"/>
            </w:tcMar>
          </w:tcPr>
          <w:p w14:paraId="35C36B73">
            <w:pPr>
              <w:numPr>
                <w:ilvl w:val="0"/>
                <w:numId w:val="0"/>
              </w:numPr>
              <w:spacing w:line="288" w:lineRule="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蔡乐</w:t>
            </w:r>
          </w:p>
        </w:tc>
        <w:tc>
          <w:tcPr>
            <w:tcW w:w="1924" w:type="dxa"/>
            <w:tcMar>
              <w:top w:w="85" w:type="dxa"/>
              <w:left w:w="108" w:type="dxa"/>
              <w:bottom w:w="85" w:type="dxa"/>
              <w:right w:w="108" w:type="dxa"/>
            </w:tcMar>
          </w:tcPr>
          <w:p w14:paraId="44B46177">
            <w:pPr>
              <w:numPr>
                <w:ilvl w:val="0"/>
                <w:numId w:val="0"/>
              </w:numPr>
              <w:spacing w:line="288" w:lineRule="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昆明医科大学</w:t>
            </w:r>
          </w:p>
        </w:tc>
        <w:tc>
          <w:tcPr>
            <w:tcW w:w="2136" w:type="dxa"/>
            <w:tcMar>
              <w:top w:w="85" w:type="dxa"/>
              <w:left w:w="108" w:type="dxa"/>
              <w:bottom w:w="85" w:type="dxa"/>
              <w:right w:w="108" w:type="dxa"/>
            </w:tcMar>
          </w:tcPr>
          <w:p w14:paraId="5155D99A">
            <w:pPr>
              <w:numPr>
                <w:ilvl w:val="0"/>
                <w:numId w:val="0"/>
              </w:numPr>
              <w:spacing w:line="288" w:lineRule="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博士/教授</w:t>
            </w:r>
          </w:p>
        </w:tc>
        <w:tc>
          <w:tcPr>
            <w:tcW w:w="3341" w:type="dxa"/>
            <w:tcMar>
              <w:top w:w="85" w:type="dxa"/>
              <w:left w:w="108" w:type="dxa"/>
              <w:bottom w:w="85" w:type="dxa"/>
              <w:right w:w="108" w:type="dxa"/>
            </w:tcMar>
            <w:vAlign w:val="center"/>
          </w:tcPr>
          <w:p w14:paraId="3228AE62">
            <w:pPr>
              <w:numPr>
                <w:ilvl w:val="0"/>
                <w:numId w:val="0"/>
              </w:numPr>
              <w:spacing w:line="288" w:lineRule="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公共卫生学院</w:t>
            </w:r>
            <w:r>
              <w:rPr>
                <w:rFonts w:hint="eastAsia" w:ascii="仿宋_GB2312" w:hAnsi="仿宋_GB2312" w:eastAsia="仿宋_GB2312" w:cs="仿宋_GB2312"/>
                <w:sz w:val="32"/>
                <w:szCs w:val="32"/>
                <w:highlight w:val="none"/>
                <w:lang w:val="en-US" w:eastAsia="zh-CN"/>
              </w:rPr>
              <w:t>党委书记</w:t>
            </w:r>
          </w:p>
        </w:tc>
      </w:tr>
      <w:tr w14:paraId="43F53AA4">
        <w:trPr>
          <w:tblCellSpacing w:w="0" w:type="dxa"/>
          <w:jc w:val="center"/>
        </w:trPr>
        <w:tc>
          <w:tcPr>
            <w:tcW w:w="2149" w:type="dxa"/>
            <w:tcMar>
              <w:top w:w="85" w:type="dxa"/>
              <w:left w:w="108" w:type="dxa"/>
              <w:bottom w:w="85" w:type="dxa"/>
              <w:right w:w="108" w:type="dxa"/>
            </w:tcMar>
          </w:tcPr>
          <w:p w14:paraId="5CC75545">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焦锋</w:t>
            </w:r>
          </w:p>
        </w:tc>
        <w:tc>
          <w:tcPr>
            <w:tcW w:w="1924" w:type="dxa"/>
            <w:tcMar>
              <w:top w:w="85" w:type="dxa"/>
              <w:left w:w="108" w:type="dxa"/>
              <w:bottom w:w="85" w:type="dxa"/>
              <w:right w:w="108" w:type="dxa"/>
            </w:tcMar>
          </w:tcPr>
          <w:p w14:paraId="7FF0658B">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昆明医科大学</w:t>
            </w:r>
          </w:p>
        </w:tc>
        <w:tc>
          <w:tcPr>
            <w:tcW w:w="2136" w:type="dxa"/>
            <w:tcMar>
              <w:top w:w="85" w:type="dxa"/>
              <w:left w:w="108" w:type="dxa"/>
              <w:bottom w:w="85" w:type="dxa"/>
              <w:right w:w="108" w:type="dxa"/>
            </w:tcMar>
          </w:tcPr>
          <w:p w14:paraId="7E216F52">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硕士/教授</w:t>
            </w:r>
          </w:p>
        </w:tc>
        <w:tc>
          <w:tcPr>
            <w:tcW w:w="3341" w:type="dxa"/>
            <w:tcMar>
              <w:top w:w="85" w:type="dxa"/>
              <w:left w:w="108" w:type="dxa"/>
              <w:bottom w:w="85" w:type="dxa"/>
              <w:right w:w="108" w:type="dxa"/>
            </w:tcMar>
            <w:vAlign w:val="center"/>
          </w:tcPr>
          <w:p w14:paraId="6668B709">
            <w:pPr>
              <w:numPr>
                <w:ilvl w:val="0"/>
                <w:numId w:val="0"/>
              </w:numPr>
              <w:spacing w:line="288"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tc>
      </w:tr>
      <w:bookmarkEnd w:id="0"/>
    </w:tbl>
    <w:p w14:paraId="4A92A8B2">
      <w:pPr>
        <w:rPr>
          <w:rFonts w:hint="eastAsia" w:ascii="仿宋_GB2312" w:hAnsi="仿宋_GB2312" w:eastAsia="仿宋_GB2312" w:cs="仿宋_GB2312"/>
          <w:sz w:val="32"/>
          <w:szCs w:val="32"/>
        </w:rPr>
      </w:pPr>
    </w:p>
    <w:sectPr>
      <w:pgSz w:w="11906" w:h="16838"/>
      <w:pgMar w:top="1270" w:right="1800" w:bottom="1327"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EF" w:usb1="C0007841" w:usb2="00000009" w:usb3="00000000" w:csb0="400001FF" w:csb1="FFFF0000"/>
    <w:embedRegular r:id="rId1" w:fontKey="{EFF96859-7468-E7F4-001E-EA69B574FB65}"/>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00002FF" w:usb1="4000ACFF" w:usb2="00000001" w:usb3="00000000" w:csb0="2000019F" w:csb1="00000000"/>
    <w:embedRegular r:id="rId2" w:fontKey="{0BBB26C3-BA98-26FF-001E-EA69F0DA41D8}"/>
  </w:font>
  <w:font w:name="方正小标宋简体">
    <w:panose1 w:val="02000000000000000000"/>
    <w:charset w:val="86"/>
    <w:family w:val="auto"/>
    <w:pitch w:val="default"/>
    <w:sig w:usb0="00000001" w:usb1="08000000" w:usb2="00000000" w:usb3="00000000" w:csb0="00040000" w:csb1="00000000"/>
    <w:embedRegular r:id="rId3" w:fontKey="{8D77BFF8-E06F-73CC-001E-EA69019897CB}"/>
  </w:font>
  <w:font w:name="仿宋_GB2312">
    <w:panose1 w:val="02010609030101010101"/>
    <w:charset w:val="86"/>
    <w:family w:val="modern"/>
    <w:pitch w:val="default"/>
    <w:sig w:usb0="00000001" w:usb1="080E0000" w:usb2="00000000" w:usb3="00000000" w:csb0="00040000" w:csb1="00000000"/>
    <w:embedRegular r:id="rId4" w:fontKey="{7B735DEA-ADBD-35AD-001E-EA69B6652912}"/>
  </w:font>
  <w:font w:name="微软雅黑">
    <w:panose1 w:val="020B0703020204020201"/>
    <w:charset w:val="86"/>
    <w:family w:val="auto"/>
    <w:pitch w:val="default"/>
    <w:sig w:usb0="80000287" w:usb1="080F3C52" w:usb2="00000016" w:usb3="00000000" w:csb0="0004001F"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F7E3FF7"/>
    <w:rsid w:val="0003055E"/>
    <w:rsid w:val="000804BD"/>
    <w:rsid w:val="000A2EC6"/>
    <w:rsid w:val="00115629"/>
    <w:rsid w:val="001A1AB9"/>
    <w:rsid w:val="001E05B6"/>
    <w:rsid w:val="002A620E"/>
    <w:rsid w:val="00361878"/>
    <w:rsid w:val="003E4900"/>
    <w:rsid w:val="004075D0"/>
    <w:rsid w:val="0046615B"/>
    <w:rsid w:val="004809FE"/>
    <w:rsid w:val="004A6F73"/>
    <w:rsid w:val="005F00C7"/>
    <w:rsid w:val="005F3C16"/>
    <w:rsid w:val="005F4C6D"/>
    <w:rsid w:val="00622FA5"/>
    <w:rsid w:val="006F2659"/>
    <w:rsid w:val="00770C6D"/>
    <w:rsid w:val="00797AED"/>
    <w:rsid w:val="007C1DE8"/>
    <w:rsid w:val="007F5F18"/>
    <w:rsid w:val="00826F6C"/>
    <w:rsid w:val="008E48EC"/>
    <w:rsid w:val="009946DC"/>
    <w:rsid w:val="00A3770E"/>
    <w:rsid w:val="00B133A7"/>
    <w:rsid w:val="00B26607"/>
    <w:rsid w:val="00B83B78"/>
    <w:rsid w:val="00C00EAB"/>
    <w:rsid w:val="00C32EB7"/>
    <w:rsid w:val="00C65D2E"/>
    <w:rsid w:val="00CB6CF1"/>
    <w:rsid w:val="00D143E7"/>
    <w:rsid w:val="00D45D5F"/>
    <w:rsid w:val="00E0208E"/>
    <w:rsid w:val="00E94967"/>
    <w:rsid w:val="00ED343B"/>
    <w:rsid w:val="00F467FC"/>
    <w:rsid w:val="01850207"/>
    <w:rsid w:val="04735EB4"/>
    <w:rsid w:val="08206641"/>
    <w:rsid w:val="0B4E4C14"/>
    <w:rsid w:val="0C8D2AEB"/>
    <w:rsid w:val="0E811E04"/>
    <w:rsid w:val="11252483"/>
    <w:rsid w:val="127001C5"/>
    <w:rsid w:val="169F1079"/>
    <w:rsid w:val="17EA27C8"/>
    <w:rsid w:val="188D5986"/>
    <w:rsid w:val="189342A4"/>
    <w:rsid w:val="1BCA4DEA"/>
    <w:rsid w:val="1F7C04E2"/>
    <w:rsid w:val="20390790"/>
    <w:rsid w:val="215F7D83"/>
    <w:rsid w:val="22C70054"/>
    <w:rsid w:val="274717CD"/>
    <w:rsid w:val="29325D7D"/>
    <w:rsid w:val="29492D3F"/>
    <w:rsid w:val="2C4E1120"/>
    <w:rsid w:val="2CFE693C"/>
    <w:rsid w:val="2E0917A2"/>
    <w:rsid w:val="2FC516F9"/>
    <w:rsid w:val="2FFF05B4"/>
    <w:rsid w:val="30BD6874"/>
    <w:rsid w:val="31586882"/>
    <w:rsid w:val="331C5AD4"/>
    <w:rsid w:val="3A3C4CAD"/>
    <w:rsid w:val="3C2D0D52"/>
    <w:rsid w:val="3D8A3F82"/>
    <w:rsid w:val="3EF69FA9"/>
    <w:rsid w:val="3F2B709E"/>
    <w:rsid w:val="412C5A7C"/>
    <w:rsid w:val="413C5593"/>
    <w:rsid w:val="41DD0B24"/>
    <w:rsid w:val="43E91A02"/>
    <w:rsid w:val="475E0126"/>
    <w:rsid w:val="485007AA"/>
    <w:rsid w:val="497D1F39"/>
    <w:rsid w:val="4AE747C1"/>
    <w:rsid w:val="4CE0596C"/>
    <w:rsid w:val="4E1F4272"/>
    <w:rsid w:val="507F724A"/>
    <w:rsid w:val="5144296E"/>
    <w:rsid w:val="532540D9"/>
    <w:rsid w:val="56FE711B"/>
    <w:rsid w:val="57B317F1"/>
    <w:rsid w:val="59401C6C"/>
    <w:rsid w:val="5A5F6E50"/>
    <w:rsid w:val="60695F4D"/>
    <w:rsid w:val="61A60ADB"/>
    <w:rsid w:val="673D5A3D"/>
    <w:rsid w:val="6C184383"/>
    <w:rsid w:val="6D9E6B0A"/>
    <w:rsid w:val="6E8201DA"/>
    <w:rsid w:val="6EA939B8"/>
    <w:rsid w:val="6F5D6004"/>
    <w:rsid w:val="6F6D2C38"/>
    <w:rsid w:val="6F7E3FF7"/>
    <w:rsid w:val="73005B71"/>
    <w:rsid w:val="75CD778F"/>
    <w:rsid w:val="78FD327E"/>
    <w:rsid w:val="7BB67714"/>
    <w:rsid w:val="7C9C147C"/>
    <w:rsid w:val="7D0A5F6A"/>
    <w:rsid w:val="7E4234E1"/>
    <w:rsid w:val="FBFB7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rFonts w:cs="Times New Roman"/>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qFormat/>
    <w:uiPriority w:val="0"/>
    <w:rPr>
      <w:b/>
    </w:rPr>
  </w:style>
  <w:style w:type="character" w:customStyle="1" w:styleId="9">
    <w:name w:val="页眉 字符"/>
    <w:basedOn w:val="7"/>
    <w:link w:val="3"/>
    <w:qFormat/>
    <w:uiPriority w:val="0"/>
    <w:rPr>
      <w:rFonts w:asciiTheme="minorHAnsi" w:hAnsiTheme="minorHAnsi" w:eastAsiaTheme="minorEastAsia" w:cstheme="minorBidi"/>
      <w:kern w:val="2"/>
      <w:sz w:val="18"/>
      <w:szCs w:val="18"/>
    </w:rPr>
  </w:style>
  <w:style w:type="character" w:customStyle="1" w:styleId="10">
    <w:name w:val="页脚 字符"/>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8</Pages>
  <Words>1896</Words>
  <Characters>3188</Characters>
  <Lines>128</Lines>
  <Paragraphs>38</Paragraphs>
  <TotalTime>15</TotalTime>
  <ScaleCrop>false</ScaleCrop>
  <LinksUpToDate>false</LinksUpToDate>
  <CharactersWithSpaces>3330</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2026-04-16T00:15:00Z</dcterms:created>
  <dc:creator>龙三</dc:creator>
  <cp:lastModifiedBy>开心小汤</cp:lastModifiedBy>
  <dcterms:modified xsi:type="dcterms:W3CDTF">2026-04-23T21:26:24Z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692663E08C4D43F59702B18273BBFC0E_13</vt:lpwstr>
  </property>
  <property fmtid="{D5CDD505-2E9C-101B-9397-08002B2CF9AE}" pid="4" name="KSOTemplateDocerSaveRecord">
    <vt:lpwstr>eyJoZGlkIjoiMGE2YWQwMDVkNGZmYzE3YzQzNWMzNjBiNTVhNDVhZDciLCJ1c2VySWQiOiI3MTI5NTIzMTgifQ==</vt:lpwstr>
  </property>
</Properties>
</file>